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4B1" w:rsidRDefault="001234B1" w:rsidP="001234B1">
      <w:pPr>
        <w:pStyle w:val="Title"/>
        <w:rPr>
          <w:rFonts w:eastAsia="Times New Roman"/>
          <w:sz w:val="48"/>
          <w:szCs w:val="48"/>
        </w:rPr>
      </w:pPr>
      <w:r>
        <w:rPr>
          <w:rFonts w:eastAsia="Times New Roman"/>
        </w:rPr>
        <w:t xml:space="preserve">Australian Meningococcal Surveillance Programme annual report, 2018 </w:t>
      </w:r>
    </w:p>
    <w:p w:rsidR="001234B1" w:rsidRDefault="001234B1" w:rsidP="001234B1">
      <w:r>
        <w:t xml:space="preserve">Monica M Lahra, Rodney Enriquez and Tiffany Hogan for the National Neisseria Network </w:t>
      </w:r>
    </w:p>
    <w:p w:rsidR="001234B1" w:rsidRPr="001234B1" w:rsidRDefault="001234B1" w:rsidP="001234B1">
      <w:pPr>
        <w:pStyle w:val="Heading1"/>
      </w:pPr>
      <w:r w:rsidRPr="001234B1">
        <w:t xml:space="preserve">Abstract </w:t>
      </w:r>
    </w:p>
    <w:p w:rsidR="001234B1" w:rsidRDefault="001234B1" w:rsidP="001234B1">
      <w:r>
        <w:t xml:space="preserve">Invasive meningococcal disease (IMD) is a notifiable disease in Australia, and both probable and laboratory-confirmed cases of IMD are reported to the National Notifiable Diseases Surveillance System (NNDSS). In 2018, there were 281 IMD cases notified to the NNDSS. Of these, 278 were laboratory-confirmed cases analysed by the reference laboratories of the Australian National Neisseria Network (NNN). On investigation, the </w:t>
      </w:r>
      <w:proofErr w:type="spellStart"/>
      <w:r>
        <w:t>serogroup</w:t>
      </w:r>
      <w:proofErr w:type="spellEnd"/>
      <w:r>
        <w:t xml:space="preserve"> was able to be determined for 98.6% (274/278) of laboratory-confirmed cases. </w:t>
      </w:r>
      <w:proofErr w:type="spellStart"/>
      <w:r>
        <w:t>Serogroup</w:t>
      </w:r>
      <w:proofErr w:type="spellEnd"/>
      <w:r>
        <w:t xml:space="preserve"> B infections accounted for 44.2% of cases (123 cases); </w:t>
      </w:r>
      <w:proofErr w:type="spellStart"/>
      <w:r>
        <w:t>serogroup</w:t>
      </w:r>
      <w:proofErr w:type="spellEnd"/>
      <w:r>
        <w:t xml:space="preserve"> W for 36.3% of cases (101 cases); </w:t>
      </w:r>
      <w:proofErr w:type="spellStart"/>
      <w:r>
        <w:t>serogroup</w:t>
      </w:r>
      <w:proofErr w:type="spellEnd"/>
      <w:r>
        <w:t xml:space="preserve"> Y infections for 15.8% (44 cases) and </w:t>
      </w:r>
      <w:proofErr w:type="spellStart"/>
      <w:r>
        <w:t>serogroup</w:t>
      </w:r>
      <w:proofErr w:type="spellEnd"/>
      <w:r>
        <w:t xml:space="preserve"> C 1.4% (4 cases); and there were two unrelated cases (0.7%) of IMD attributable to </w:t>
      </w:r>
      <w:proofErr w:type="spellStart"/>
      <w:r>
        <w:t>serogroup</w:t>
      </w:r>
      <w:proofErr w:type="spellEnd"/>
      <w:r>
        <w:t xml:space="preserve"> E. Using molecular methods, 181/278 IMD cases were able to be typed. Of note was that 89% of typed </w:t>
      </w:r>
      <w:proofErr w:type="spellStart"/>
      <w:r>
        <w:t>serogroup</w:t>
      </w:r>
      <w:proofErr w:type="spellEnd"/>
      <w:r>
        <w:t xml:space="preserve"> W IMD cases (66/74) were </w:t>
      </w:r>
      <w:proofErr w:type="spellStart"/>
      <w:r w:rsidRPr="004C6AE3">
        <w:rPr>
          <w:rStyle w:val="Emphasis"/>
          <w:b w:val="0"/>
        </w:rPr>
        <w:t>por</w:t>
      </w:r>
      <w:r>
        <w:t>A</w:t>
      </w:r>
      <w:proofErr w:type="spellEnd"/>
      <w:r>
        <w:t xml:space="preserve"> antigen type P1.5,2; of this number, 44% (29/66) were sequence type 11, the </w:t>
      </w:r>
      <w:proofErr w:type="spellStart"/>
      <w:r>
        <w:t>hypervirulent</w:t>
      </w:r>
      <w:proofErr w:type="spellEnd"/>
      <w:r>
        <w:t xml:space="preserve"> strain reported in recent outbreaks in Australia and overseas. </w:t>
      </w:r>
    </w:p>
    <w:p w:rsidR="001234B1" w:rsidRDefault="001234B1" w:rsidP="001234B1">
      <w:r>
        <w:t xml:space="preserve">The primary age peak of IMD in Australia in 2018 was again observed in adults aged 45 years or more; a secondary disease peak was observed in children and infants aged less than 5 years. </w:t>
      </w:r>
      <w:proofErr w:type="spellStart"/>
      <w:r>
        <w:t>Serogroup</w:t>
      </w:r>
      <w:proofErr w:type="spellEnd"/>
      <w:r>
        <w:t xml:space="preserve"> B infections predominated in those aged less than 5 years, whereas </w:t>
      </w:r>
      <w:proofErr w:type="spellStart"/>
      <w:r>
        <w:t>serogroup</w:t>
      </w:r>
      <w:proofErr w:type="spellEnd"/>
      <w:r>
        <w:t xml:space="preserve"> W and </w:t>
      </w:r>
      <w:proofErr w:type="spellStart"/>
      <w:r>
        <w:t>serogroup</w:t>
      </w:r>
      <w:proofErr w:type="spellEnd"/>
      <w:r>
        <w:t xml:space="preserve"> Y infections predominated in those aged 45 years or more. Of the IMD isolates tested for antimicrobial susceptibility, 1.4% (3/210) were resistant to penicillin with an MIC ≥ 1 mg/L, and decreased susceptibility to penicillin was observed in a further 93.8% (197/210) of isolates. All isolates were susceptible to ceftriaxone and rifampicin; there was one isolate less susceptible to ciprofloxacin. </w:t>
      </w:r>
    </w:p>
    <w:p w:rsidR="001234B1" w:rsidRDefault="001234B1" w:rsidP="001234B1">
      <w:r>
        <w:t xml:space="preserve">Keywords: antibiotic resistance; disease surveillance; meningococcal disease; </w:t>
      </w:r>
      <w:r w:rsidRPr="004C6AE3">
        <w:rPr>
          <w:rStyle w:val="Emphasis"/>
          <w:b w:val="0"/>
        </w:rPr>
        <w:t xml:space="preserve">Neisseria </w:t>
      </w:r>
      <w:proofErr w:type="spellStart"/>
      <w:r w:rsidRPr="004C6AE3">
        <w:rPr>
          <w:rStyle w:val="Emphasis"/>
          <w:b w:val="0"/>
        </w:rPr>
        <w:t>meningitidis</w:t>
      </w:r>
      <w:proofErr w:type="spellEnd"/>
      <w:r>
        <w:t xml:space="preserve"> </w:t>
      </w:r>
    </w:p>
    <w:p w:rsidR="001234B1" w:rsidRPr="001234B1" w:rsidRDefault="001234B1" w:rsidP="001234B1">
      <w:pPr>
        <w:pStyle w:val="Heading1"/>
      </w:pPr>
      <w:r w:rsidRPr="001234B1">
        <w:t xml:space="preserve">Introduction </w:t>
      </w:r>
    </w:p>
    <w:p w:rsidR="001234B1" w:rsidRDefault="001234B1" w:rsidP="001234B1">
      <w:r>
        <w:t xml:space="preserve">Australia’s National Neisseria Network (NNN) was established in 1979, as a collaborative network of reference laboratories in each state and territory that contribute to the laboratory surveillance of the pathogenic </w:t>
      </w:r>
      <w:r w:rsidRPr="004C6AE3">
        <w:rPr>
          <w:rStyle w:val="Emphasis"/>
          <w:b w:val="0"/>
        </w:rPr>
        <w:t>Neisseria</w:t>
      </w:r>
      <w:r>
        <w:t xml:space="preserve">: </w:t>
      </w:r>
      <w:r w:rsidRPr="004C6AE3">
        <w:rPr>
          <w:rStyle w:val="Emphasis"/>
          <w:b w:val="0"/>
        </w:rPr>
        <w:t xml:space="preserve">N. </w:t>
      </w:r>
      <w:proofErr w:type="spellStart"/>
      <w:r w:rsidRPr="004C6AE3">
        <w:rPr>
          <w:rStyle w:val="Emphasis"/>
          <w:b w:val="0"/>
        </w:rPr>
        <w:t>meningitidis</w:t>
      </w:r>
      <w:proofErr w:type="spellEnd"/>
      <w:r>
        <w:t xml:space="preserve"> and </w:t>
      </w:r>
      <w:r w:rsidRPr="004C6AE3">
        <w:rPr>
          <w:rStyle w:val="Emphasis"/>
          <w:b w:val="0"/>
        </w:rPr>
        <w:t xml:space="preserve">N. </w:t>
      </w:r>
      <w:proofErr w:type="spellStart"/>
      <w:r w:rsidRPr="004C6AE3">
        <w:rPr>
          <w:rStyle w:val="Emphasis"/>
          <w:b w:val="0"/>
        </w:rPr>
        <w:t>gonorrhoeae</w:t>
      </w:r>
      <w:proofErr w:type="spellEnd"/>
      <w:r w:rsidRPr="004C6AE3">
        <w:rPr>
          <w:rStyle w:val="Emphasis"/>
          <w:b w:val="0"/>
        </w:rPr>
        <w:t>.</w:t>
      </w:r>
      <w:r>
        <w:t xml:space="preserve"> Since 1994 the NNN has coordinated laboratory data from cases of invasive meningococcal disease (IMD) for the Australian Meningococcal Surveillance Programme (AMSP), supported by the Australian Government Department of Health and the jurisdictions.</w:t>
      </w:r>
      <w:r>
        <w:rPr>
          <w:vertAlign w:val="superscript"/>
        </w:rPr>
        <w:t>1</w:t>
      </w:r>
      <w:r>
        <w:t xml:space="preserve"> The NNN laboratories supply phenotypic and genotypic data to supplement the notification data from the National Notifiable Diseases Surveillance System (NNDSS), which includes cases of probable and laboratory-confirmed IMD.</w:t>
      </w:r>
    </w:p>
    <w:p w:rsidR="001234B1" w:rsidRDefault="001234B1" w:rsidP="001234B1">
      <w:r>
        <w:t>Notifications of IMD in Australia peaked at 3.5 cases per 100,000 in 2002</w:t>
      </w:r>
      <w:proofErr w:type="gramStart"/>
      <w:r>
        <w:t>,</w:t>
      </w:r>
      <w:r>
        <w:rPr>
          <w:vertAlign w:val="superscript"/>
        </w:rPr>
        <w:t>2</w:t>
      </w:r>
      <w:proofErr w:type="gramEnd"/>
      <w:r>
        <w:t xml:space="preserve"> with the majority of disease caused by </w:t>
      </w:r>
      <w:proofErr w:type="spellStart"/>
      <w:r>
        <w:t>serogroups</w:t>
      </w:r>
      <w:proofErr w:type="spellEnd"/>
      <w:r>
        <w:t xml:space="preserve"> B and C. The introduction of the conjugate </w:t>
      </w:r>
      <w:proofErr w:type="spellStart"/>
      <w:r>
        <w:t>serogroup</w:t>
      </w:r>
      <w:proofErr w:type="spellEnd"/>
      <w:r>
        <w:t xml:space="preserve"> C meningococcal vaccine onto the National Immunisation Program in 2003 was followed by significant and sustained reduction over the next 10 years, both of the number of </w:t>
      </w:r>
      <w:proofErr w:type="spellStart"/>
      <w:r>
        <w:t>serogroup</w:t>
      </w:r>
      <w:proofErr w:type="spellEnd"/>
      <w:r>
        <w:t xml:space="preserve"> C IMD cases and of the overall notifications of IMD, with 0.6 cases per 100,000 notified in 2013.</w:t>
      </w:r>
      <w:r>
        <w:rPr>
          <w:vertAlign w:val="superscript"/>
        </w:rPr>
        <w:t>3,4</w:t>
      </w:r>
      <w:r>
        <w:t xml:space="preserve"> After 2013, however, there has been an increase in both </w:t>
      </w:r>
      <w:proofErr w:type="spellStart"/>
      <w:r>
        <w:t>serogroup</w:t>
      </w:r>
      <w:proofErr w:type="spellEnd"/>
      <w:r>
        <w:t xml:space="preserve"> W and </w:t>
      </w:r>
      <w:proofErr w:type="spellStart"/>
      <w:r>
        <w:t>serogroup</w:t>
      </w:r>
      <w:proofErr w:type="spellEnd"/>
      <w:r>
        <w:t xml:space="preserve"> Y disease, and overall IMD notifications rose to 1.5 cases per 100,000 in 2017 falling to 1.1 per 100,000 in 2018.</w:t>
      </w:r>
      <w:r>
        <w:rPr>
          <w:vertAlign w:val="superscript"/>
        </w:rPr>
        <w:t>2</w:t>
      </w:r>
      <w:r>
        <w:t xml:space="preserve"> At the jurisdictional level, implementation of </w:t>
      </w:r>
      <w:proofErr w:type="spellStart"/>
      <w:r>
        <w:t>MenACWY</w:t>
      </w:r>
      <w:proofErr w:type="spellEnd"/>
      <w:r>
        <w:t xml:space="preserve"> immunisation programmes in targeted age groups in 2017 was followed in 2018 by the replacement of the monovalent </w:t>
      </w:r>
      <w:proofErr w:type="spellStart"/>
      <w:r>
        <w:t>MenC</w:t>
      </w:r>
      <w:proofErr w:type="spellEnd"/>
      <w:r>
        <w:t xml:space="preserve"> vaccine with the 4-valent </w:t>
      </w:r>
      <w:proofErr w:type="spellStart"/>
      <w:r>
        <w:t>MenACWY</w:t>
      </w:r>
      <w:proofErr w:type="spellEnd"/>
      <w:r>
        <w:t xml:space="preserve"> vaccine on the National Immunisation Programme. </w:t>
      </w:r>
      <w:bookmarkStart w:id="0" w:name="_GoBack"/>
      <w:bookmarkEnd w:id="0"/>
    </w:p>
    <w:p w:rsidR="001234B1" w:rsidRDefault="001234B1" w:rsidP="001234B1">
      <w:r>
        <w:lastRenderedPageBreak/>
        <w:t xml:space="preserve">In 2018, IMD remains a rare disease in Australia, but one of public health concern. Continued monitoring of phenotypic and genotypic features of IMD strains is critical to plan and inform clinical management of cases, case clusters and outbreaks of IMD locally and nationally, and to inform and monitor public health interventions. </w:t>
      </w:r>
    </w:p>
    <w:p w:rsidR="001234B1" w:rsidRPr="001234B1" w:rsidRDefault="001234B1" w:rsidP="001234B1">
      <w:pPr>
        <w:pStyle w:val="Heading1"/>
      </w:pPr>
      <w:r w:rsidRPr="001234B1">
        <w:t xml:space="preserve">Methods </w:t>
      </w:r>
    </w:p>
    <w:p w:rsidR="001234B1" w:rsidRPr="001234B1" w:rsidRDefault="001234B1" w:rsidP="001234B1">
      <w:pPr>
        <w:pStyle w:val="Heading2"/>
      </w:pPr>
      <w:r w:rsidRPr="001234B1">
        <w:t xml:space="preserve">Case confirmation of invasive meningococcal disease </w:t>
      </w:r>
    </w:p>
    <w:p w:rsidR="001234B1" w:rsidRDefault="001234B1" w:rsidP="001234B1">
      <w:r>
        <w:t>Case confirmation is based on isolation of</w:t>
      </w:r>
      <w:r w:rsidRPr="004C6AE3">
        <w:rPr>
          <w:rStyle w:val="Emphasis"/>
          <w:b w:val="0"/>
        </w:rPr>
        <w:t xml:space="preserve"> N. </w:t>
      </w:r>
      <w:proofErr w:type="spellStart"/>
      <w:r w:rsidRPr="004C6AE3">
        <w:rPr>
          <w:rStyle w:val="Emphasis"/>
          <w:b w:val="0"/>
        </w:rPr>
        <w:t>meningitidis</w:t>
      </w:r>
      <w:proofErr w:type="spellEnd"/>
      <w:r>
        <w:t>, or a positive nucleic acid amplification testing (NAAT) from a normally sterile site, defined as laboratory definitive evidence of IMD according to the national case definition.</w:t>
      </w:r>
      <w:r>
        <w:rPr>
          <w:vertAlign w:val="superscript"/>
        </w:rPr>
        <w:t>5</w:t>
      </w:r>
      <w:r>
        <w:t xml:space="preserve"> Information regarding the site of infection, age and sex of patients is collated by the NNN for the AMSP. </w:t>
      </w:r>
    </w:p>
    <w:p w:rsidR="001234B1" w:rsidRDefault="001234B1" w:rsidP="001234B1">
      <w:r>
        <w:t xml:space="preserve">IMD cases are categorised on the basis of the site from which </w:t>
      </w:r>
      <w:r w:rsidRPr="004C6AE3">
        <w:rPr>
          <w:rStyle w:val="Emphasis"/>
          <w:b w:val="0"/>
        </w:rPr>
        <w:t xml:space="preserve">N. </w:t>
      </w:r>
      <w:proofErr w:type="spellStart"/>
      <w:r w:rsidRPr="004C6AE3">
        <w:rPr>
          <w:rStyle w:val="Emphasis"/>
          <w:b w:val="0"/>
        </w:rPr>
        <w:t>meningitidis</w:t>
      </w:r>
      <w:proofErr w:type="spellEnd"/>
      <w:r>
        <w:t xml:space="preserve"> was isolated, or from which meningococcal DNA was detected (blood, joint fluid, vitreous fluid). When </w:t>
      </w:r>
      <w:r w:rsidRPr="004C6AE3">
        <w:rPr>
          <w:rStyle w:val="Emphasis"/>
          <w:b w:val="0"/>
        </w:rPr>
        <w:t xml:space="preserve">N. </w:t>
      </w:r>
      <w:proofErr w:type="spellStart"/>
      <w:r w:rsidRPr="004C6AE3">
        <w:rPr>
          <w:rStyle w:val="Emphasis"/>
          <w:b w:val="0"/>
        </w:rPr>
        <w:t>meningitidis</w:t>
      </w:r>
      <w:proofErr w:type="spellEnd"/>
      <w:r>
        <w:t xml:space="preserve"> is detected from both blood and cerebrospinal fluid (CSF) from the same patient, the case is classified as one of meningitis. </w:t>
      </w:r>
    </w:p>
    <w:p w:rsidR="001234B1" w:rsidRPr="001234B1" w:rsidRDefault="001234B1" w:rsidP="001234B1">
      <w:pPr>
        <w:pStyle w:val="Heading2"/>
      </w:pPr>
      <w:r w:rsidRPr="001234B1">
        <w:t xml:space="preserve">Phenotyping and genotyping of Neisseria </w:t>
      </w:r>
      <w:proofErr w:type="spellStart"/>
      <w:r w:rsidRPr="001234B1">
        <w:t>meningitidis</w:t>
      </w:r>
      <w:proofErr w:type="spellEnd"/>
      <w:r w:rsidRPr="001234B1">
        <w:t xml:space="preserve"> </w:t>
      </w:r>
    </w:p>
    <w:p w:rsidR="001234B1" w:rsidRDefault="001234B1" w:rsidP="001234B1">
      <w:r>
        <w:t xml:space="preserve">Phenotyping is limited to the determination of the </w:t>
      </w:r>
      <w:proofErr w:type="spellStart"/>
      <w:r>
        <w:t>serogroup</w:t>
      </w:r>
      <w:proofErr w:type="spellEnd"/>
      <w:r>
        <w:t xml:space="preserve"> by detection of soluble polysaccharide antigens. Genotyping of both isolates and DNA extracts is performed by sequencing of products derived from amplification of the </w:t>
      </w:r>
      <w:proofErr w:type="spellStart"/>
      <w:r>
        <w:t>porin</w:t>
      </w:r>
      <w:proofErr w:type="spellEnd"/>
      <w:r>
        <w:t xml:space="preserve"> genes </w:t>
      </w:r>
      <w:proofErr w:type="spellStart"/>
      <w:r w:rsidRPr="004C6AE3">
        <w:rPr>
          <w:rStyle w:val="Emphasis"/>
          <w:b w:val="0"/>
        </w:rPr>
        <w:t>porA</w:t>
      </w:r>
      <w:proofErr w:type="spellEnd"/>
      <w:r>
        <w:t xml:space="preserve"> and </w:t>
      </w:r>
      <w:proofErr w:type="spellStart"/>
      <w:r w:rsidRPr="004C6AE3">
        <w:rPr>
          <w:rStyle w:val="Emphasis"/>
          <w:b w:val="0"/>
        </w:rPr>
        <w:t>porB</w:t>
      </w:r>
      <w:proofErr w:type="spellEnd"/>
      <w:r w:rsidRPr="004C6AE3">
        <w:rPr>
          <w:rStyle w:val="Emphasis"/>
          <w:b w:val="0"/>
        </w:rPr>
        <w:t>,</w:t>
      </w:r>
      <w:r>
        <w:t xml:space="preserve"> and the iron-regulated gene </w:t>
      </w:r>
      <w:proofErr w:type="spellStart"/>
      <w:r w:rsidRPr="004C6AE3">
        <w:rPr>
          <w:rStyle w:val="Emphasis"/>
          <w:b w:val="0"/>
        </w:rPr>
        <w:t>fetA</w:t>
      </w:r>
      <w:proofErr w:type="spellEnd"/>
      <w:r>
        <w:t>, in the outer membrane protein</w:t>
      </w:r>
      <w:r w:rsidRPr="004C6AE3">
        <w:rPr>
          <w:rStyle w:val="Emphasis"/>
          <w:b w:val="0"/>
        </w:rPr>
        <w:t xml:space="preserve">. </w:t>
      </w:r>
    </w:p>
    <w:p w:rsidR="001234B1" w:rsidRPr="001234B1" w:rsidRDefault="001234B1" w:rsidP="001234B1">
      <w:pPr>
        <w:pStyle w:val="Heading2"/>
      </w:pPr>
      <w:r w:rsidRPr="001234B1">
        <w:t xml:space="preserve">Antibiotic susceptibility testing </w:t>
      </w:r>
    </w:p>
    <w:p w:rsidR="001234B1" w:rsidRDefault="001234B1" w:rsidP="001234B1">
      <w:r>
        <w:t xml:space="preserve">Isolates were tested to determine their minimum inhibitory concentration (MIC) values to antibiotics used for therapeutic and prophylactic purposes: ceftriaxone, ciprofloxacin, penicillin and rifampicin. This program has historically reported penicillin testing categories as: sensitive (MIC ≤ 0.03 mg/L), less sensitive (MIC 0.06–0.5 mg/L) and resistant (MIC ≥ 1 mg/L). However, to monitor across antimicrobial susceptibility testing methods, a distribution of penicillin MIC values is now reported. </w:t>
      </w:r>
    </w:p>
    <w:p w:rsidR="001234B1" w:rsidRPr="001234B1" w:rsidRDefault="001234B1" w:rsidP="001234B1">
      <w:pPr>
        <w:pStyle w:val="Heading1"/>
      </w:pPr>
      <w:r w:rsidRPr="001234B1">
        <w:t xml:space="preserve">Results </w:t>
      </w:r>
    </w:p>
    <w:p w:rsidR="001234B1" w:rsidRDefault="001234B1" w:rsidP="001234B1">
      <w:r>
        <w:t>In 2018, there were 278 laboratory-confirmed cases of IMD analysed by the NNN, and 281 cases notified to the NNDSS.</w:t>
      </w:r>
      <w:r>
        <w:rPr>
          <w:vertAlign w:val="superscript"/>
        </w:rPr>
        <w:t>2</w:t>
      </w:r>
      <w:r>
        <w:t xml:space="preserve"> Thus, laboratory data were available for 98.9% of notified cases of IMD in Australia in 2018 (Figure 1). This number of laboratory-confirmed cases of IMD was lower than 2017 (n = 374), which was the highest reported since 2003. The number of cases notified to the NNDSS was also lower than 2017 (n = 379), which was the highest reported since 2005. In 2018, the peak incidence for IMD occurred in mid-winter and early spring (1 July to 30 September 2018) (Table 1).</w:t>
      </w:r>
    </w:p>
    <w:p w:rsidR="00A74CD0" w:rsidRDefault="00A74CD0">
      <w:pPr>
        <w:rPr>
          <w:b/>
        </w:rPr>
      </w:pPr>
      <w:r>
        <w:br w:type="page"/>
      </w:r>
    </w:p>
    <w:p w:rsidR="001234B1" w:rsidRDefault="001234B1" w:rsidP="00CE1755">
      <w:pPr>
        <w:pStyle w:val="CDIFigures"/>
      </w:pPr>
      <w:r>
        <w:lastRenderedPageBreak/>
        <w:t>Figure 1: Number of invasive meningococcal disease cases reported to the National Notifiable Diseases Surveillance System compared with laboratory-confirmed data from the Australian Meningococcal Surveillance Programme, Australia, 1991–2018</w:t>
      </w:r>
    </w:p>
    <w:p w:rsidR="001234B1" w:rsidRDefault="001234B1">
      <w:pPr>
        <w:pStyle w:val="NormalWeb"/>
      </w:pPr>
      <w:r>
        <w:rPr>
          <w:noProof/>
        </w:rPr>
        <w:drawing>
          <wp:inline distT="0" distB="0" distL="0" distR="0">
            <wp:extent cx="6114300" cy="4191009"/>
            <wp:effectExtent l="0" t="0" r="1270" b="0"/>
            <wp:docPr id="6" name="Picture 6" descr="Number of invasive meningococcal disease cases reported to NNDSS compared with laboratory confirmed data from the AMSP, Australia, 2018&#10;This Figure shows both the number of cases of invasive meningococcal disease (IMD) reported to National Notifiable Diseases Surveillance System and the number of laboratory confirmed cases of IMD, in Australia, per annum, 1991-2018. The red line represents the number of laboratory confirmed cases of IMD reported to the Australian Meningococcal Surveillance Programme; the blue line represents the number of cases of IMD reported to National Notifiable Diseases Surveillance Syste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mber of invasive meningococcal disease cases reported to NNDSS compared with laboratory confirmed data from the AMSP, Australia, 2018&#10;This Figure shows both the number of cases of invasive meningococcal disease (IMD) reported to National Notifiable Diseases Surveillance System and the number of laboratory confirmed cases of IMD, in Australia, per annum, 1991-2018. The red line represents the number of laboratory confirmed cases of IMD reported to the Australian Meningococcal Surveillance Programme; the blue line represents the number of cases of IMD reported to National Notifiable Diseases Surveillance System.&#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14300" cy="4191009"/>
                    </a:xfrm>
                    <a:prstGeom prst="rect">
                      <a:avLst/>
                    </a:prstGeom>
                  </pic:spPr>
                </pic:pic>
              </a:graphicData>
            </a:graphic>
          </wp:inline>
        </w:drawing>
      </w:r>
    </w:p>
    <w:p w:rsidR="001234B1" w:rsidRDefault="001234B1" w:rsidP="001234B1">
      <w:pPr>
        <w:pStyle w:val="CDIFigures"/>
      </w:pPr>
      <w:r>
        <w:t>Table 1: Laboratory-confirmed cases of invasive meningococcal disease, Australia.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Laboratory confirmed cases of invasive meningococcal disease, Australia, 2018, by quarter&#10;Table 1 shows the number of laboratory cases of invasive meningococcal disease (IMD) in 2018, grouped by seasonality and serogroup."/>
      </w:tblPr>
      <w:tblGrid>
        <w:gridCol w:w="1063"/>
        <w:gridCol w:w="2055"/>
        <w:gridCol w:w="1615"/>
        <w:gridCol w:w="2112"/>
        <w:gridCol w:w="2438"/>
        <w:gridCol w:w="1076"/>
      </w:tblGrid>
      <w:tr w:rsidR="00CE1755" w:rsidRPr="00CE1755" w:rsidTr="00CE1755">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1234B1" w:rsidRPr="00CE1755" w:rsidRDefault="001234B1">
            <w:pPr>
              <w:pStyle w:val="NormalWeb"/>
              <w:rPr>
                <w:color w:val="FFFFFF" w:themeColor="background1"/>
              </w:rPr>
            </w:pPr>
            <w:proofErr w:type="spellStart"/>
            <w:r w:rsidRPr="00CE1755">
              <w:rPr>
                <w:color w:val="FFFFFF" w:themeColor="background1"/>
              </w:rPr>
              <w:t>Serogroup</w:t>
            </w:r>
            <w:proofErr w:type="spellEnd"/>
          </w:p>
        </w:tc>
        <w:tc>
          <w:tcPr>
            <w:tcW w:w="0" w:type="auto"/>
            <w:hideMark/>
          </w:tcPr>
          <w:p w:rsidR="001234B1" w:rsidRPr="00CE1755" w:rsidRDefault="001234B1" w:rsidP="00CE1755">
            <w:pPr>
              <w:pStyle w:val="NormalWeb"/>
              <w:jc w:val="center"/>
              <w:rPr>
                <w:color w:val="FFFFFF" w:themeColor="background1"/>
              </w:rPr>
            </w:pPr>
            <w:r w:rsidRPr="00CE1755">
              <w:rPr>
                <w:color w:val="FFFFFF" w:themeColor="background1"/>
              </w:rPr>
              <w:t>1 January – 31 March</w:t>
            </w:r>
          </w:p>
        </w:tc>
        <w:tc>
          <w:tcPr>
            <w:tcW w:w="0" w:type="auto"/>
            <w:hideMark/>
          </w:tcPr>
          <w:p w:rsidR="001234B1" w:rsidRPr="00CE1755" w:rsidRDefault="001234B1" w:rsidP="00CE1755">
            <w:pPr>
              <w:pStyle w:val="NormalWeb"/>
              <w:jc w:val="center"/>
              <w:rPr>
                <w:color w:val="FFFFFF" w:themeColor="background1"/>
              </w:rPr>
            </w:pPr>
            <w:r w:rsidRPr="00CE1755">
              <w:rPr>
                <w:color w:val="FFFFFF" w:themeColor="background1"/>
              </w:rPr>
              <w:t>1 April – 30 June</w:t>
            </w:r>
          </w:p>
        </w:tc>
        <w:tc>
          <w:tcPr>
            <w:tcW w:w="0" w:type="auto"/>
            <w:hideMark/>
          </w:tcPr>
          <w:p w:rsidR="001234B1" w:rsidRPr="00CE1755" w:rsidRDefault="001234B1" w:rsidP="00CE1755">
            <w:pPr>
              <w:pStyle w:val="NormalWeb"/>
              <w:jc w:val="center"/>
              <w:rPr>
                <w:color w:val="FFFFFF" w:themeColor="background1"/>
              </w:rPr>
            </w:pPr>
            <w:r w:rsidRPr="00CE1755">
              <w:rPr>
                <w:color w:val="FFFFFF" w:themeColor="background1"/>
              </w:rPr>
              <w:t>1 July – 30 September</w:t>
            </w:r>
          </w:p>
        </w:tc>
        <w:tc>
          <w:tcPr>
            <w:tcW w:w="0" w:type="auto"/>
            <w:hideMark/>
          </w:tcPr>
          <w:p w:rsidR="001234B1" w:rsidRPr="00CE1755" w:rsidRDefault="001234B1" w:rsidP="00CE1755">
            <w:pPr>
              <w:pStyle w:val="NormalWeb"/>
              <w:jc w:val="center"/>
              <w:rPr>
                <w:color w:val="FFFFFF" w:themeColor="background1"/>
              </w:rPr>
            </w:pPr>
            <w:r w:rsidRPr="00CE1755">
              <w:rPr>
                <w:color w:val="FFFFFF" w:themeColor="background1"/>
              </w:rPr>
              <w:t>1 October – 31 December</w:t>
            </w:r>
          </w:p>
        </w:tc>
        <w:tc>
          <w:tcPr>
            <w:tcW w:w="0" w:type="auto"/>
            <w:hideMark/>
          </w:tcPr>
          <w:p w:rsidR="001234B1" w:rsidRPr="00CE1755" w:rsidRDefault="001234B1" w:rsidP="00CE1755">
            <w:pPr>
              <w:pStyle w:val="NormalWeb"/>
              <w:jc w:val="center"/>
              <w:rPr>
                <w:color w:val="FFFFFF" w:themeColor="background1"/>
              </w:rPr>
            </w:pPr>
            <w:r w:rsidRPr="00CE1755">
              <w:rPr>
                <w:color w:val="FFFFFF" w:themeColor="background1"/>
              </w:rPr>
              <w:t>2018 Total</w:t>
            </w:r>
          </w:p>
        </w:tc>
      </w:tr>
      <w:tr w:rsidR="001234B1" w:rsidTr="00CE1755">
        <w:tc>
          <w:tcPr>
            <w:tcW w:w="0" w:type="auto"/>
            <w:hideMark/>
          </w:tcPr>
          <w:p w:rsidR="001234B1" w:rsidRDefault="001234B1">
            <w:pPr>
              <w:pStyle w:val="NormalWeb"/>
            </w:pPr>
            <w:r>
              <w:t>B</w:t>
            </w:r>
          </w:p>
        </w:tc>
        <w:tc>
          <w:tcPr>
            <w:tcW w:w="0" w:type="auto"/>
            <w:hideMark/>
          </w:tcPr>
          <w:p w:rsidR="001234B1" w:rsidRDefault="001234B1" w:rsidP="00CE1755">
            <w:pPr>
              <w:pStyle w:val="NormalWeb"/>
              <w:jc w:val="center"/>
            </w:pPr>
            <w:r>
              <w:t>23</w:t>
            </w:r>
          </w:p>
        </w:tc>
        <w:tc>
          <w:tcPr>
            <w:tcW w:w="0" w:type="auto"/>
            <w:hideMark/>
          </w:tcPr>
          <w:p w:rsidR="001234B1" w:rsidRDefault="001234B1" w:rsidP="00CE1755">
            <w:pPr>
              <w:pStyle w:val="NormalWeb"/>
              <w:jc w:val="center"/>
            </w:pPr>
            <w:r>
              <w:t>27</w:t>
            </w:r>
          </w:p>
        </w:tc>
        <w:tc>
          <w:tcPr>
            <w:tcW w:w="0" w:type="auto"/>
            <w:hideMark/>
          </w:tcPr>
          <w:p w:rsidR="001234B1" w:rsidRDefault="001234B1" w:rsidP="00CE1755">
            <w:pPr>
              <w:pStyle w:val="NormalWeb"/>
              <w:jc w:val="center"/>
            </w:pPr>
            <w:r>
              <w:t>34</w:t>
            </w:r>
          </w:p>
        </w:tc>
        <w:tc>
          <w:tcPr>
            <w:tcW w:w="0" w:type="auto"/>
            <w:hideMark/>
          </w:tcPr>
          <w:p w:rsidR="001234B1" w:rsidRDefault="001234B1" w:rsidP="00CE1755">
            <w:pPr>
              <w:pStyle w:val="NormalWeb"/>
              <w:jc w:val="center"/>
            </w:pPr>
            <w:r>
              <w:t>39</w:t>
            </w:r>
          </w:p>
        </w:tc>
        <w:tc>
          <w:tcPr>
            <w:tcW w:w="0" w:type="auto"/>
            <w:hideMark/>
          </w:tcPr>
          <w:p w:rsidR="001234B1" w:rsidRDefault="001234B1" w:rsidP="00CE1755">
            <w:pPr>
              <w:pStyle w:val="NormalWeb"/>
              <w:jc w:val="center"/>
            </w:pPr>
            <w:r>
              <w:t>123</w:t>
            </w:r>
          </w:p>
        </w:tc>
      </w:tr>
      <w:tr w:rsidR="001234B1" w:rsidTr="00CE175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C</w:t>
            </w:r>
          </w:p>
        </w:tc>
        <w:tc>
          <w:tcPr>
            <w:tcW w:w="0" w:type="auto"/>
            <w:hideMark/>
          </w:tcPr>
          <w:p w:rsidR="001234B1" w:rsidRDefault="001234B1" w:rsidP="00CE1755">
            <w:pPr>
              <w:pStyle w:val="NormalWeb"/>
              <w:jc w:val="center"/>
            </w:pPr>
            <w:r>
              <w:t>0</w:t>
            </w:r>
          </w:p>
        </w:tc>
        <w:tc>
          <w:tcPr>
            <w:tcW w:w="0" w:type="auto"/>
            <w:hideMark/>
          </w:tcPr>
          <w:p w:rsidR="001234B1" w:rsidRDefault="001234B1" w:rsidP="00CE1755">
            <w:pPr>
              <w:pStyle w:val="NormalWeb"/>
              <w:jc w:val="center"/>
            </w:pPr>
            <w:r>
              <w:t>2</w:t>
            </w:r>
          </w:p>
        </w:tc>
        <w:tc>
          <w:tcPr>
            <w:tcW w:w="0" w:type="auto"/>
            <w:hideMark/>
          </w:tcPr>
          <w:p w:rsidR="001234B1" w:rsidRDefault="001234B1" w:rsidP="00CE1755">
            <w:pPr>
              <w:pStyle w:val="NormalWeb"/>
              <w:jc w:val="center"/>
            </w:pPr>
            <w:r>
              <w:t>1</w:t>
            </w:r>
          </w:p>
        </w:tc>
        <w:tc>
          <w:tcPr>
            <w:tcW w:w="0" w:type="auto"/>
            <w:hideMark/>
          </w:tcPr>
          <w:p w:rsidR="001234B1" w:rsidRDefault="001234B1" w:rsidP="00CE1755">
            <w:pPr>
              <w:pStyle w:val="NormalWeb"/>
              <w:jc w:val="center"/>
            </w:pPr>
            <w:r>
              <w:t>1</w:t>
            </w:r>
          </w:p>
        </w:tc>
        <w:tc>
          <w:tcPr>
            <w:tcW w:w="0" w:type="auto"/>
            <w:hideMark/>
          </w:tcPr>
          <w:p w:rsidR="001234B1" w:rsidRDefault="001234B1" w:rsidP="00CE1755">
            <w:pPr>
              <w:pStyle w:val="NormalWeb"/>
              <w:jc w:val="center"/>
            </w:pPr>
            <w:r>
              <w:t>4</w:t>
            </w:r>
          </w:p>
        </w:tc>
      </w:tr>
      <w:tr w:rsidR="001234B1" w:rsidTr="00CE1755">
        <w:tc>
          <w:tcPr>
            <w:tcW w:w="0" w:type="auto"/>
            <w:hideMark/>
          </w:tcPr>
          <w:p w:rsidR="001234B1" w:rsidRDefault="001234B1">
            <w:pPr>
              <w:pStyle w:val="NormalWeb"/>
            </w:pPr>
            <w:r>
              <w:t>Y</w:t>
            </w:r>
          </w:p>
        </w:tc>
        <w:tc>
          <w:tcPr>
            <w:tcW w:w="0" w:type="auto"/>
            <w:hideMark/>
          </w:tcPr>
          <w:p w:rsidR="001234B1" w:rsidRDefault="001234B1" w:rsidP="00CE1755">
            <w:pPr>
              <w:pStyle w:val="NormalWeb"/>
              <w:jc w:val="center"/>
            </w:pPr>
            <w:r>
              <w:t>12</w:t>
            </w:r>
          </w:p>
        </w:tc>
        <w:tc>
          <w:tcPr>
            <w:tcW w:w="0" w:type="auto"/>
            <w:hideMark/>
          </w:tcPr>
          <w:p w:rsidR="001234B1" w:rsidRDefault="001234B1" w:rsidP="00CE1755">
            <w:pPr>
              <w:pStyle w:val="NormalWeb"/>
              <w:jc w:val="center"/>
            </w:pPr>
            <w:r>
              <w:t>10</w:t>
            </w:r>
          </w:p>
        </w:tc>
        <w:tc>
          <w:tcPr>
            <w:tcW w:w="0" w:type="auto"/>
            <w:hideMark/>
          </w:tcPr>
          <w:p w:rsidR="001234B1" w:rsidRDefault="001234B1" w:rsidP="00CE1755">
            <w:pPr>
              <w:pStyle w:val="NormalWeb"/>
              <w:jc w:val="center"/>
            </w:pPr>
            <w:r>
              <w:t>9</w:t>
            </w:r>
          </w:p>
        </w:tc>
        <w:tc>
          <w:tcPr>
            <w:tcW w:w="0" w:type="auto"/>
            <w:hideMark/>
          </w:tcPr>
          <w:p w:rsidR="001234B1" w:rsidRDefault="001234B1" w:rsidP="00CE1755">
            <w:pPr>
              <w:pStyle w:val="NormalWeb"/>
              <w:jc w:val="center"/>
            </w:pPr>
            <w:r>
              <w:t>13</w:t>
            </w:r>
          </w:p>
        </w:tc>
        <w:tc>
          <w:tcPr>
            <w:tcW w:w="0" w:type="auto"/>
            <w:hideMark/>
          </w:tcPr>
          <w:p w:rsidR="001234B1" w:rsidRDefault="001234B1" w:rsidP="00CE1755">
            <w:pPr>
              <w:pStyle w:val="NormalWeb"/>
              <w:jc w:val="center"/>
            </w:pPr>
            <w:r>
              <w:t>44</w:t>
            </w:r>
          </w:p>
        </w:tc>
      </w:tr>
      <w:tr w:rsidR="001234B1" w:rsidTr="00CE175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W</w:t>
            </w:r>
          </w:p>
        </w:tc>
        <w:tc>
          <w:tcPr>
            <w:tcW w:w="0" w:type="auto"/>
            <w:hideMark/>
          </w:tcPr>
          <w:p w:rsidR="001234B1" w:rsidRDefault="001234B1" w:rsidP="00CE1755">
            <w:pPr>
              <w:pStyle w:val="NormalWeb"/>
              <w:jc w:val="center"/>
            </w:pPr>
            <w:r>
              <w:t>9</w:t>
            </w:r>
          </w:p>
        </w:tc>
        <w:tc>
          <w:tcPr>
            <w:tcW w:w="0" w:type="auto"/>
            <w:hideMark/>
          </w:tcPr>
          <w:p w:rsidR="001234B1" w:rsidRDefault="001234B1" w:rsidP="00CE1755">
            <w:pPr>
              <w:pStyle w:val="NormalWeb"/>
              <w:jc w:val="center"/>
            </w:pPr>
            <w:r>
              <w:t>16</w:t>
            </w:r>
          </w:p>
        </w:tc>
        <w:tc>
          <w:tcPr>
            <w:tcW w:w="0" w:type="auto"/>
            <w:hideMark/>
          </w:tcPr>
          <w:p w:rsidR="001234B1" w:rsidRDefault="001234B1" w:rsidP="00CE1755">
            <w:pPr>
              <w:pStyle w:val="NormalWeb"/>
              <w:jc w:val="center"/>
            </w:pPr>
            <w:r>
              <w:t>48</w:t>
            </w:r>
          </w:p>
        </w:tc>
        <w:tc>
          <w:tcPr>
            <w:tcW w:w="0" w:type="auto"/>
            <w:hideMark/>
          </w:tcPr>
          <w:p w:rsidR="001234B1" w:rsidRDefault="001234B1" w:rsidP="00CE1755">
            <w:pPr>
              <w:pStyle w:val="NormalWeb"/>
              <w:jc w:val="center"/>
            </w:pPr>
            <w:r>
              <w:t>28</w:t>
            </w:r>
          </w:p>
        </w:tc>
        <w:tc>
          <w:tcPr>
            <w:tcW w:w="0" w:type="auto"/>
            <w:hideMark/>
          </w:tcPr>
          <w:p w:rsidR="001234B1" w:rsidRDefault="001234B1" w:rsidP="00CE1755">
            <w:pPr>
              <w:pStyle w:val="NormalWeb"/>
              <w:jc w:val="center"/>
            </w:pPr>
            <w:r>
              <w:t>101</w:t>
            </w:r>
          </w:p>
        </w:tc>
      </w:tr>
      <w:tr w:rsidR="001234B1" w:rsidTr="00CE1755">
        <w:tc>
          <w:tcPr>
            <w:tcW w:w="0" w:type="auto"/>
            <w:hideMark/>
          </w:tcPr>
          <w:p w:rsidR="001234B1" w:rsidRDefault="001234B1">
            <w:pPr>
              <w:pStyle w:val="NormalWeb"/>
            </w:pPr>
            <w:proofErr w:type="spellStart"/>
            <w:r>
              <w:t>Other</w:t>
            </w:r>
            <w:r w:rsidRPr="00587AEF">
              <w:rPr>
                <w:vertAlign w:val="superscript"/>
              </w:rPr>
              <w:t>a</w:t>
            </w:r>
            <w:proofErr w:type="spellEnd"/>
          </w:p>
        </w:tc>
        <w:tc>
          <w:tcPr>
            <w:tcW w:w="0" w:type="auto"/>
            <w:hideMark/>
          </w:tcPr>
          <w:p w:rsidR="001234B1" w:rsidRDefault="001234B1" w:rsidP="00CE1755">
            <w:pPr>
              <w:pStyle w:val="NormalWeb"/>
              <w:jc w:val="center"/>
            </w:pPr>
            <w:r>
              <w:t>0</w:t>
            </w:r>
          </w:p>
        </w:tc>
        <w:tc>
          <w:tcPr>
            <w:tcW w:w="0" w:type="auto"/>
            <w:hideMark/>
          </w:tcPr>
          <w:p w:rsidR="001234B1" w:rsidRDefault="001234B1" w:rsidP="00CE1755">
            <w:pPr>
              <w:pStyle w:val="NormalWeb"/>
              <w:jc w:val="center"/>
            </w:pPr>
            <w:r>
              <w:t>1</w:t>
            </w:r>
          </w:p>
        </w:tc>
        <w:tc>
          <w:tcPr>
            <w:tcW w:w="0" w:type="auto"/>
            <w:hideMark/>
          </w:tcPr>
          <w:p w:rsidR="001234B1" w:rsidRDefault="001234B1" w:rsidP="00CE1755">
            <w:pPr>
              <w:pStyle w:val="NormalWeb"/>
              <w:jc w:val="center"/>
            </w:pPr>
            <w:r>
              <w:t>1</w:t>
            </w:r>
          </w:p>
        </w:tc>
        <w:tc>
          <w:tcPr>
            <w:tcW w:w="0" w:type="auto"/>
            <w:hideMark/>
          </w:tcPr>
          <w:p w:rsidR="001234B1" w:rsidRDefault="001234B1" w:rsidP="00CE1755">
            <w:pPr>
              <w:pStyle w:val="NormalWeb"/>
              <w:jc w:val="center"/>
            </w:pPr>
            <w:r>
              <w:t>0</w:t>
            </w:r>
          </w:p>
        </w:tc>
        <w:tc>
          <w:tcPr>
            <w:tcW w:w="0" w:type="auto"/>
            <w:hideMark/>
          </w:tcPr>
          <w:p w:rsidR="001234B1" w:rsidRDefault="001234B1" w:rsidP="00CE1755">
            <w:pPr>
              <w:pStyle w:val="NormalWeb"/>
              <w:jc w:val="center"/>
            </w:pPr>
            <w:r>
              <w:t>2</w:t>
            </w:r>
          </w:p>
        </w:tc>
      </w:tr>
      <w:tr w:rsidR="001234B1" w:rsidTr="00CE175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proofErr w:type="spellStart"/>
            <w:r>
              <w:t>NG</w:t>
            </w:r>
            <w:r w:rsidRPr="00587AEF">
              <w:rPr>
                <w:vertAlign w:val="superscript"/>
              </w:rPr>
              <w:t>b</w:t>
            </w:r>
            <w:proofErr w:type="spellEnd"/>
          </w:p>
        </w:tc>
        <w:tc>
          <w:tcPr>
            <w:tcW w:w="0" w:type="auto"/>
            <w:hideMark/>
          </w:tcPr>
          <w:p w:rsidR="001234B1" w:rsidRDefault="001234B1" w:rsidP="00CE1755">
            <w:pPr>
              <w:pStyle w:val="NormalWeb"/>
              <w:jc w:val="center"/>
            </w:pPr>
            <w:r>
              <w:t>0</w:t>
            </w:r>
          </w:p>
        </w:tc>
        <w:tc>
          <w:tcPr>
            <w:tcW w:w="0" w:type="auto"/>
            <w:hideMark/>
          </w:tcPr>
          <w:p w:rsidR="001234B1" w:rsidRDefault="001234B1" w:rsidP="00CE1755">
            <w:pPr>
              <w:pStyle w:val="NormalWeb"/>
              <w:jc w:val="center"/>
            </w:pPr>
            <w:r>
              <w:t>0</w:t>
            </w:r>
          </w:p>
        </w:tc>
        <w:tc>
          <w:tcPr>
            <w:tcW w:w="0" w:type="auto"/>
            <w:hideMark/>
          </w:tcPr>
          <w:p w:rsidR="001234B1" w:rsidRDefault="001234B1" w:rsidP="00CE1755">
            <w:pPr>
              <w:pStyle w:val="NormalWeb"/>
              <w:jc w:val="center"/>
            </w:pPr>
            <w:r>
              <w:t>0</w:t>
            </w:r>
          </w:p>
        </w:tc>
        <w:tc>
          <w:tcPr>
            <w:tcW w:w="0" w:type="auto"/>
            <w:hideMark/>
          </w:tcPr>
          <w:p w:rsidR="001234B1" w:rsidRDefault="001234B1" w:rsidP="00CE1755">
            <w:pPr>
              <w:pStyle w:val="NormalWeb"/>
              <w:jc w:val="center"/>
            </w:pPr>
            <w:r>
              <w:t>0</w:t>
            </w:r>
          </w:p>
        </w:tc>
        <w:tc>
          <w:tcPr>
            <w:tcW w:w="0" w:type="auto"/>
            <w:hideMark/>
          </w:tcPr>
          <w:p w:rsidR="001234B1" w:rsidRDefault="001234B1" w:rsidP="00CE1755">
            <w:pPr>
              <w:pStyle w:val="NormalWeb"/>
              <w:jc w:val="center"/>
            </w:pPr>
            <w:r>
              <w:t>0</w:t>
            </w:r>
          </w:p>
        </w:tc>
      </w:tr>
      <w:tr w:rsidR="001234B1" w:rsidTr="00CE1755">
        <w:tc>
          <w:tcPr>
            <w:tcW w:w="0" w:type="auto"/>
            <w:hideMark/>
          </w:tcPr>
          <w:p w:rsidR="001234B1" w:rsidRDefault="001234B1">
            <w:pPr>
              <w:pStyle w:val="NormalWeb"/>
            </w:pPr>
            <w:proofErr w:type="spellStart"/>
            <w:r>
              <w:t>ND</w:t>
            </w:r>
            <w:r w:rsidRPr="00587AEF">
              <w:rPr>
                <w:vertAlign w:val="superscript"/>
              </w:rPr>
              <w:t>c</w:t>
            </w:r>
            <w:proofErr w:type="spellEnd"/>
          </w:p>
        </w:tc>
        <w:tc>
          <w:tcPr>
            <w:tcW w:w="0" w:type="auto"/>
            <w:hideMark/>
          </w:tcPr>
          <w:p w:rsidR="001234B1" w:rsidRDefault="001234B1" w:rsidP="00CE1755">
            <w:pPr>
              <w:pStyle w:val="NormalWeb"/>
              <w:jc w:val="center"/>
            </w:pPr>
            <w:r>
              <w:t>1</w:t>
            </w:r>
          </w:p>
        </w:tc>
        <w:tc>
          <w:tcPr>
            <w:tcW w:w="0" w:type="auto"/>
            <w:hideMark/>
          </w:tcPr>
          <w:p w:rsidR="001234B1" w:rsidRDefault="001234B1" w:rsidP="00CE1755">
            <w:pPr>
              <w:pStyle w:val="NormalWeb"/>
              <w:jc w:val="center"/>
            </w:pPr>
            <w:r>
              <w:t>2</w:t>
            </w:r>
          </w:p>
        </w:tc>
        <w:tc>
          <w:tcPr>
            <w:tcW w:w="0" w:type="auto"/>
            <w:hideMark/>
          </w:tcPr>
          <w:p w:rsidR="001234B1" w:rsidRDefault="001234B1" w:rsidP="00CE1755">
            <w:pPr>
              <w:pStyle w:val="NormalWeb"/>
              <w:jc w:val="center"/>
            </w:pPr>
            <w:r>
              <w:t>0</w:t>
            </w:r>
          </w:p>
        </w:tc>
        <w:tc>
          <w:tcPr>
            <w:tcW w:w="0" w:type="auto"/>
            <w:hideMark/>
          </w:tcPr>
          <w:p w:rsidR="001234B1" w:rsidRDefault="001234B1" w:rsidP="00CE1755">
            <w:pPr>
              <w:pStyle w:val="NormalWeb"/>
              <w:jc w:val="center"/>
            </w:pPr>
            <w:r>
              <w:t>1</w:t>
            </w:r>
          </w:p>
        </w:tc>
        <w:tc>
          <w:tcPr>
            <w:tcW w:w="0" w:type="auto"/>
            <w:hideMark/>
          </w:tcPr>
          <w:p w:rsidR="001234B1" w:rsidRDefault="001234B1" w:rsidP="00CE1755">
            <w:pPr>
              <w:pStyle w:val="NormalWeb"/>
              <w:jc w:val="center"/>
            </w:pPr>
            <w:r>
              <w:t>4</w:t>
            </w:r>
          </w:p>
        </w:tc>
      </w:tr>
      <w:tr w:rsidR="001234B1" w:rsidRPr="00AE76E9" w:rsidTr="00AE76E9">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1234B1" w:rsidRPr="00AE76E9" w:rsidRDefault="001234B1">
            <w:pPr>
              <w:pStyle w:val="NormalWeb"/>
              <w:rPr>
                <w:b/>
              </w:rPr>
            </w:pPr>
            <w:r w:rsidRPr="00AE76E9">
              <w:rPr>
                <w:b/>
              </w:rPr>
              <w:t>Total</w:t>
            </w:r>
          </w:p>
        </w:tc>
        <w:tc>
          <w:tcPr>
            <w:tcW w:w="0" w:type="auto"/>
            <w:shd w:val="clear" w:color="auto" w:fill="FDE9D9" w:themeFill="accent6" w:themeFillTint="33"/>
            <w:hideMark/>
          </w:tcPr>
          <w:p w:rsidR="001234B1" w:rsidRPr="00AE76E9" w:rsidRDefault="001234B1" w:rsidP="00CE1755">
            <w:pPr>
              <w:pStyle w:val="NormalWeb"/>
              <w:jc w:val="center"/>
              <w:rPr>
                <w:b/>
              </w:rPr>
            </w:pPr>
            <w:r w:rsidRPr="00AE76E9">
              <w:rPr>
                <w:b/>
              </w:rPr>
              <w:t>45</w:t>
            </w:r>
          </w:p>
        </w:tc>
        <w:tc>
          <w:tcPr>
            <w:tcW w:w="0" w:type="auto"/>
            <w:shd w:val="clear" w:color="auto" w:fill="FDE9D9" w:themeFill="accent6" w:themeFillTint="33"/>
            <w:hideMark/>
          </w:tcPr>
          <w:p w:rsidR="001234B1" w:rsidRPr="00AE76E9" w:rsidRDefault="001234B1" w:rsidP="00CE1755">
            <w:pPr>
              <w:pStyle w:val="NormalWeb"/>
              <w:jc w:val="center"/>
              <w:rPr>
                <w:b/>
              </w:rPr>
            </w:pPr>
            <w:r w:rsidRPr="00AE76E9">
              <w:rPr>
                <w:b/>
              </w:rPr>
              <w:t>58</w:t>
            </w:r>
          </w:p>
        </w:tc>
        <w:tc>
          <w:tcPr>
            <w:tcW w:w="0" w:type="auto"/>
            <w:shd w:val="clear" w:color="auto" w:fill="FDE9D9" w:themeFill="accent6" w:themeFillTint="33"/>
            <w:hideMark/>
          </w:tcPr>
          <w:p w:rsidR="001234B1" w:rsidRPr="00AE76E9" w:rsidRDefault="001234B1" w:rsidP="00CE1755">
            <w:pPr>
              <w:pStyle w:val="NormalWeb"/>
              <w:jc w:val="center"/>
              <w:rPr>
                <w:b/>
              </w:rPr>
            </w:pPr>
            <w:r w:rsidRPr="00AE76E9">
              <w:rPr>
                <w:b/>
              </w:rPr>
              <w:t>93</w:t>
            </w:r>
          </w:p>
        </w:tc>
        <w:tc>
          <w:tcPr>
            <w:tcW w:w="0" w:type="auto"/>
            <w:shd w:val="clear" w:color="auto" w:fill="FDE9D9" w:themeFill="accent6" w:themeFillTint="33"/>
            <w:hideMark/>
          </w:tcPr>
          <w:p w:rsidR="001234B1" w:rsidRPr="00AE76E9" w:rsidRDefault="001234B1" w:rsidP="00CE1755">
            <w:pPr>
              <w:pStyle w:val="NormalWeb"/>
              <w:jc w:val="center"/>
              <w:rPr>
                <w:b/>
              </w:rPr>
            </w:pPr>
            <w:r w:rsidRPr="00AE76E9">
              <w:rPr>
                <w:b/>
              </w:rPr>
              <w:t>82</w:t>
            </w:r>
          </w:p>
        </w:tc>
        <w:tc>
          <w:tcPr>
            <w:tcW w:w="0" w:type="auto"/>
            <w:shd w:val="clear" w:color="auto" w:fill="FDE9D9" w:themeFill="accent6" w:themeFillTint="33"/>
            <w:hideMark/>
          </w:tcPr>
          <w:p w:rsidR="001234B1" w:rsidRPr="00AE76E9" w:rsidRDefault="001234B1" w:rsidP="00CE1755">
            <w:pPr>
              <w:pStyle w:val="NormalWeb"/>
              <w:jc w:val="center"/>
              <w:rPr>
                <w:b/>
              </w:rPr>
            </w:pPr>
            <w:r w:rsidRPr="00AE76E9">
              <w:rPr>
                <w:b/>
              </w:rPr>
              <w:t>278</w:t>
            </w:r>
          </w:p>
        </w:tc>
      </w:tr>
    </w:tbl>
    <w:p w:rsidR="001234B1" w:rsidRDefault="001234B1" w:rsidP="001234B1">
      <w:pPr>
        <w:pStyle w:val="CDIfootnotes"/>
      </w:pPr>
      <w:proofErr w:type="spellStart"/>
      <w:proofErr w:type="gramStart"/>
      <w:r>
        <w:t>a</w:t>
      </w:r>
      <w:proofErr w:type="spellEnd"/>
      <w:proofErr w:type="gramEnd"/>
      <w:r>
        <w:tab/>
        <w:t xml:space="preserve">Other: </w:t>
      </w:r>
      <w:proofErr w:type="spellStart"/>
      <w:r>
        <w:t>serogroup</w:t>
      </w:r>
      <w:proofErr w:type="spellEnd"/>
      <w:r>
        <w:t xml:space="preserve"> E</w:t>
      </w:r>
    </w:p>
    <w:p w:rsidR="001234B1" w:rsidRDefault="001234B1" w:rsidP="001234B1">
      <w:pPr>
        <w:pStyle w:val="CDIfootnotes"/>
      </w:pPr>
      <w:proofErr w:type="gramStart"/>
      <w:r>
        <w:t>b</w:t>
      </w:r>
      <w:proofErr w:type="gramEnd"/>
      <w:r>
        <w:tab/>
        <w:t xml:space="preserve">Non </w:t>
      </w:r>
      <w:proofErr w:type="spellStart"/>
      <w:r>
        <w:t>groupable</w:t>
      </w:r>
      <w:proofErr w:type="spellEnd"/>
    </w:p>
    <w:p w:rsidR="001234B1" w:rsidRDefault="001234B1" w:rsidP="001234B1">
      <w:pPr>
        <w:pStyle w:val="CDIfootnotes"/>
      </w:pPr>
      <w:proofErr w:type="gramStart"/>
      <w:r>
        <w:t>c</w:t>
      </w:r>
      <w:proofErr w:type="gramEnd"/>
      <w:r>
        <w:tab/>
        <w:t xml:space="preserve">Not determined </w:t>
      </w:r>
    </w:p>
    <w:p w:rsidR="001234B1" w:rsidRDefault="001234B1" w:rsidP="001234B1">
      <w:r>
        <w:lastRenderedPageBreak/>
        <w:t xml:space="preserve">In 2018 all jurisdictions, with the exception of the Australian Capital Territory, showed a decrease in the number of IMD cases from the previous year. New South Wales reported the highest number of cases (n = 70) in a decrease from 90 cases in 2017; Queensland had the second highest number (n = 58), a decrease from 64 cases in 2017. The number of cases from each jurisdiction is shown in Table 2. The number of IMD cases reported from the Northern Territory (n = 11) was lower than in 2017 when there was an outbreak of </w:t>
      </w:r>
      <w:proofErr w:type="spellStart"/>
      <w:r>
        <w:t>serogroup</w:t>
      </w:r>
      <w:proofErr w:type="spellEnd"/>
      <w:r>
        <w:t xml:space="preserve"> W IMD (n = 32); all 11 IMD cases in the NT in 2018 were from remote communities of central Australia. </w:t>
      </w:r>
    </w:p>
    <w:p w:rsidR="001234B1" w:rsidRPr="001234B1" w:rsidRDefault="001234B1" w:rsidP="001234B1">
      <w:pPr>
        <w:pStyle w:val="Heading2"/>
      </w:pPr>
      <w:r w:rsidRPr="001234B1">
        <w:t xml:space="preserve">Age distribution </w:t>
      </w:r>
    </w:p>
    <w:p w:rsidR="001234B1" w:rsidRDefault="001234B1" w:rsidP="001234B1">
      <w:r>
        <w:t xml:space="preserve">The peak incidence of IMD in 2018, as in the previous three years, occurred in adults aged 45 years or more: this age group represented 32% (89/278) of IMD cases in 2018 (Table 3). Prior to 2015, the primary peak incidence of IMD was in children less than 5 years of age. Between 2003 and 2014, the proportion of IMD that occurred in children aged less than 5 years ranged from 28% to 36% of cases. Since 2015, the proportion has ranged from 21% to 27% of cases. </w:t>
      </w:r>
    </w:p>
    <w:p w:rsidR="001234B1" w:rsidRPr="001234B1" w:rsidRDefault="001234B1" w:rsidP="001234B1">
      <w:pPr>
        <w:pStyle w:val="Heading2"/>
      </w:pPr>
      <w:r w:rsidRPr="001234B1">
        <w:t xml:space="preserve">Anatomical site of samples for laboratory-confirmed cases </w:t>
      </w:r>
    </w:p>
    <w:p w:rsidR="001234B1" w:rsidRDefault="001234B1" w:rsidP="001234B1">
      <w:r>
        <w:t xml:space="preserve">In 2018, diagnosis was made by a positive culture in 78% of cases (216/278); 22% of cases (62/278) were confirmed by NAAT testing alone (Table 4). </w:t>
      </w:r>
    </w:p>
    <w:p w:rsidR="001234B1" w:rsidRDefault="001234B1" w:rsidP="001234B1">
      <w:r>
        <w:t xml:space="preserve">There were 51 diagnoses of meningitis based on cultures or NAAT examination of CSF either alone or with a positive blood sample. There were 221 diagnoses of septicaemia based on cultures or NAAT examination from blood samples alone (Table 4). Additionally, there were four IMD diagnoses from joint fluid, one IMD diagnosis from placental tissue and one IMD diagnosis from cardiac fluid (post-mortem) (Table 4). </w:t>
      </w:r>
    </w:p>
    <w:p w:rsidR="001234B1" w:rsidRPr="001234B1" w:rsidRDefault="001234B1" w:rsidP="001234B1">
      <w:pPr>
        <w:pStyle w:val="Heading2"/>
      </w:pPr>
      <w:proofErr w:type="spellStart"/>
      <w:r w:rsidRPr="001234B1">
        <w:t>Serogroup</w:t>
      </w:r>
      <w:proofErr w:type="spellEnd"/>
      <w:r w:rsidRPr="001234B1">
        <w:t xml:space="preserve"> data </w:t>
      </w:r>
    </w:p>
    <w:p w:rsidR="001234B1" w:rsidRPr="001234B1" w:rsidRDefault="001234B1" w:rsidP="001234B1">
      <w:pPr>
        <w:pStyle w:val="Heading3"/>
      </w:pPr>
      <w:r w:rsidRPr="001234B1">
        <w:t xml:space="preserve">Number and proportions of cases of </w:t>
      </w:r>
      <w:proofErr w:type="spellStart"/>
      <w:r w:rsidRPr="001234B1">
        <w:t>serogroup</w:t>
      </w:r>
      <w:proofErr w:type="spellEnd"/>
      <w:r w:rsidRPr="001234B1">
        <w:t xml:space="preserve"> B, C, W, and Y invasive meningococcal disease. </w:t>
      </w:r>
    </w:p>
    <w:p w:rsidR="001234B1" w:rsidRDefault="001234B1" w:rsidP="001234B1">
      <w:r>
        <w:t xml:space="preserve">The </w:t>
      </w:r>
      <w:proofErr w:type="spellStart"/>
      <w:r>
        <w:t>serogroup</w:t>
      </w:r>
      <w:proofErr w:type="spellEnd"/>
      <w:r>
        <w:t xml:space="preserve"> was determined for 274/278 laboratory-confirmed cases of IMD (98.6%) in 2018 (Tables 2 and 3). The initial decrease in IMD cases since 2002 was predominantly due to a reduction in the number of IMD cases caused by </w:t>
      </w:r>
      <w:proofErr w:type="spellStart"/>
      <w:r>
        <w:t>serogroup</w:t>
      </w:r>
      <w:proofErr w:type="spellEnd"/>
      <w:r>
        <w:t xml:space="preserve"> C from 2003 to 2007 following the introduction of the </w:t>
      </w:r>
      <w:proofErr w:type="spellStart"/>
      <w:r>
        <w:t>serogroup</w:t>
      </w:r>
      <w:proofErr w:type="spellEnd"/>
      <w:r>
        <w:t xml:space="preserve"> C vaccine. After 2009, a decline in the number of IMD cases caused by </w:t>
      </w:r>
      <w:proofErr w:type="spellStart"/>
      <w:r>
        <w:t>serogroup</w:t>
      </w:r>
      <w:proofErr w:type="spellEnd"/>
      <w:r>
        <w:t xml:space="preserve"> B was reported, from 194 cases in 2009 to 87 cases in 2016. In 2017, there was a rise in the number of IMD cases caused by </w:t>
      </w:r>
      <w:proofErr w:type="spellStart"/>
      <w:r>
        <w:t>serogroup</w:t>
      </w:r>
      <w:proofErr w:type="spellEnd"/>
      <w:r>
        <w:t xml:space="preserve"> B (n = 137), the highest number since 2012. In 2018, the number of IMD cases caused by </w:t>
      </w:r>
      <w:proofErr w:type="spellStart"/>
      <w:r>
        <w:t>serogroup</w:t>
      </w:r>
      <w:proofErr w:type="spellEnd"/>
      <w:r>
        <w:t xml:space="preserve"> B was 123. New South Wales reported the largest number of cases (n = 33) where </w:t>
      </w:r>
      <w:proofErr w:type="spellStart"/>
      <w:r>
        <w:t>serogroup</w:t>
      </w:r>
      <w:proofErr w:type="spellEnd"/>
      <w:r>
        <w:t xml:space="preserve"> B represented 47% of IMD cases reported from this state. South Australia was again the state with the highest proportion of IMD cases reported that were caused by </w:t>
      </w:r>
      <w:proofErr w:type="spellStart"/>
      <w:r>
        <w:t>serogroup</w:t>
      </w:r>
      <w:proofErr w:type="spellEnd"/>
      <w:r>
        <w:t xml:space="preserve"> B (27/34 cases or 79%). </w:t>
      </w:r>
      <w:proofErr w:type="spellStart"/>
      <w:r>
        <w:t>Serogroup</w:t>
      </w:r>
      <w:proofErr w:type="spellEnd"/>
      <w:r>
        <w:t xml:space="preserve"> B was reported in all jurisdictions except in the Australian Capital Territory where 3 cases of IMD were reported in 2018 (Table 2). In the years 2006–2012 the proportion of IMD cases caused by </w:t>
      </w:r>
      <w:proofErr w:type="spellStart"/>
      <w:r>
        <w:t>serogroup</w:t>
      </w:r>
      <w:proofErr w:type="spellEnd"/>
      <w:r>
        <w:t xml:space="preserve"> B was 84–88%, in 2013–2014 it was lower (75–80%), in 2015 it was 64%, and in 2016 and 2017 it was 36%, the lowest proportion of total IMD reported by the AMSP. In 2018, this proportion increased to 44.2% of IMD cases reported (Figure 2).</w:t>
      </w:r>
    </w:p>
    <w:p w:rsidR="009F1561" w:rsidRDefault="009F1561">
      <w:pPr>
        <w:rPr>
          <w:b/>
        </w:rPr>
      </w:pPr>
      <w:r>
        <w:br w:type="page"/>
      </w:r>
    </w:p>
    <w:p w:rsidR="001234B1" w:rsidRDefault="001234B1" w:rsidP="009F1561">
      <w:pPr>
        <w:pStyle w:val="CDIFigures"/>
      </w:pPr>
      <w:r>
        <w:lastRenderedPageBreak/>
        <w:t xml:space="preserve">Table 2: Number of laboratory-confirmed cases of invasive meningococcal disease, Australia, 2018, by state or territory and </w:t>
      </w:r>
      <w:proofErr w:type="spellStart"/>
      <w:r>
        <w:t>serogroup</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umber of laboratory confirmed cases of invasive meningococcal disease, Australia, 2018, by state or territory and serogroup&#10;Table 2 shows the number of laboratory cases of invasive meningococcal disease (IMD) in 2018, grouped by geographical distribution and serogroup."/>
      </w:tblPr>
      <w:tblGrid>
        <w:gridCol w:w="1492"/>
        <w:gridCol w:w="1163"/>
        <w:gridCol w:w="1163"/>
        <w:gridCol w:w="1163"/>
        <w:gridCol w:w="1163"/>
        <w:gridCol w:w="1163"/>
        <w:gridCol w:w="1163"/>
        <w:gridCol w:w="1163"/>
        <w:gridCol w:w="707"/>
      </w:tblGrid>
      <w:tr w:rsidR="00FC5EE4" w:rsidRPr="00FC5EE4" w:rsidTr="009F156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rsidR="001234B1" w:rsidRPr="00FC5EE4" w:rsidRDefault="001234B1">
            <w:pPr>
              <w:pStyle w:val="NormalWeb"/>
              <w:rPr>
                <w:color w:val="FFFFFF" w:themeColor="background1"/>
              </w:rPr>
            </w:pPr>
            <w:r w:rsidRPr="00FC5EE4">
              <w:rPr>
                <w:color w:val="FFFFFF" w:themeColor="background1"/>
              </w:rPr>
              <w:t>State/Territory</w:t>
            </w:r>
          </w:p>
        </w:tc>
        <w:tc>
          <w:tcPr>
            <w:tcW w:w="8141" w:type="dxa"/>
            <w:gridSpan w:val="7"/>
            <w:hideMark/>
          </w:tcPr>
          <w:p w:rsidR="001234B1" w:rsidRPr="00FC5EE4" w:rsidRDefault="001234B1">
            <w:pPr>
              <w:pStyle w:val="NormalWeb"/>
              <w:rPr>
                <w:color w:val="FFFFFF" w:themeColor="background1"/>
              </w:rPr>
            </w:pPr>
            <w:proofErr w:type="spellStart"/>
            <w:r w:rsidRPr="00FC5EE4">
              <w:rPr>
                <w:color w:val="FFFFFF" w:themeColor="background1"/>
              </w:rPr>
              <w:t>Serogroup</w:t>
            </w:r>
            <w:proofErr w:type="spellEnd"/>
          </w:p>
        </w:tc>
        <w:tc>
          <w:tcPr>
            <w:tcW w:w="707" w:type="dxa"/>
            <w:vMerge w:val="restart"/>
            <w:hideMark/>
          </w:tcPr>
          <w:p w:rsidR="001234B1" w:rsidRPr="00FC5EE4" w:rsidRDefault="001234B1" w:rsidP="009F1561">
            <w:pPr>
              <w:pStyle w:val="NormalWeb"/>
              <w:jc w:val="center"/>
              <w:rPr>
                <w:color w:val="FFFFFF" w:themeColor="background1"/>
              </w:rPr>
            </w:pPr>
            <w:r w:rsidRPr="00FC5EE4">
              <w:rPr>
                <w:color w:val="FFFFFF" w:themeColor="background1"/>
              </w:rPr>
              <w:t>Total</w:t>
            </w:r>
          </w:p>
        </w:tc>
      </w:tr>
      <w:tr w:rsidR="00FC5EE4" w:rsidRPr="00FC5EE4" w:rsidTr="009F1561">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rsidR="001234B1" w:rsidRPr="00FC5EE4" w:rsidRDefault="001234B1">
            <w:pPr>
              <w:rPr>
                <w:color w:val="FFFFFF" w:themeColor="background1"/>
                <w:sz w:val="24"/>
                <w:szCs w:val="24"/>
              </w:rPr>
            </w:pPr>
          </w:p>
        </w:tc>
        <w:tc>
          <w:tcPr>
            <w:tcW w:w="1163" w:type="dxa"/>
            <w:vAlign w:val="center"/>
            <w:hideMark/>
          </w:tcPr>
          <w:p w:rsidR="001234B1" w:rsidRPr="00FC5EE4" w:rsidRDefault="001234B1" w:rsidP="009F1561">
            <w:pPr>
              <w:pStyle w:val="NormalWeb"/>
              <w:jc w:val="center"/>
              <w:rPr>
                <w:color w:val="FFFFFF" w:themeColor="background1"/>
              </w:rPr>
            </w:pPr>
            <w:r w:rsidRPr="00FC5EE4">
              <w:rPr>
                <w:color w:val="FFFFFF" w:themeColor="background1"/>
              </w:rPr>
              <w:t>B</w:t>
            </w:r>
          </w:p>
        </w:tc>
        <w:tc>
          <w:tcPr>
            <w:tcW w:w="1163" w:type="dxa"/>
            <w:vAlign w:val="center"/>
            <w:hideMark/>
          </w:tcPr>
          <w:p w:rsidR="001234B1" w:rsidRPr="00FC5EE4" w:rsidRDefault="001234B1" w:rsidP="009F1561">
            <w:pPr>
              <w:pStyle w:val="NormalWeb"/>
              <w:jc w:val="center"/>
              <w:rPr>
                <w:color w:val="FFFFFF" w:themeColor="background1"/>
              </w:rPr>
            </w:pPr>
            <w:r w:rsidRPr="00FC5EE4">
              <w:rPr>
                <w:color w:val="FFFFFF" w:themeColor="background1"/>
              </w:rPr>
              <w:t>C</w:t>
            </w:r>
          </w:p>
        </w:tc>
        <w:tc>
          <w:tcPr>
            <w:tcW w:w="1163" w:type="dxa"/>
            <w:vAlign w:val="center"/>
            <w:hideMark/>
          </w:tcPr>
          <w:p w:rsidR="001234B1" w:rsidRPr="00FC5EE4" w:rsidRDefault="001234B1" w:rsidP="009F1561">
            <w:pPr>
              <w:pStyle w:val="NormalWeb"/>
              <w:jc w:val="center"/>
              <w:rPr>
                <w:color w:val="FFFFFF" w:themeColor="background1"/>
              </w:rPr>
            </w:pPr>
            <w:r w:rsidRPr="00FC5EE4">
              <w:rPr>
                <w:color w:val="FFFFFF" w:themeColor="background1"/>
              </w:rPr>
              <w:t>Y</w:t>
            </w:r>
          </w:p>
        </w:tc>
        <w:tc>
          <w:tcPr>
            <w:tcW w:w="1163" w:type="dxa"/>
            <w:vAlign w:val="center"/>
            <w:hideMark/>
          </w:tcPr>
          <w:p w:rsidR="001234B1" w:rsidRPr="00FC5EE4" w:rsidRDefault="001234B1" w:rsidP="009F1561">
            <w:pPr>
              <w:pStyle w:val="NormalWeb"/>
              <w:jc w:val="center"/>
              <w:rPr>
                <w:color w:val="FFFFFF" w:themeColor="background1"/>
              </w:rPr>
            </w:pPr>
            <w:r w:rsidRPr="00FC5EE4">
              <w:rPr>
                <w:color w:val="FFFFFF" w:themeColor="background1"/>
              </w:rPr>
              <w:t>W</w:t>
            </w:r>
          </w:p>
        </w:tc>
        <w:tc>
          <w:tcPr>
            <w:tcW w:w="1163" w:type="dxa"/>
            <w:vAlign w:val="center"/>
            <w:hideMark/>
          </w:tcPr>
          <w:p w:rsidR="001234B1" w:rsidRPr="00FC5EE4" w:rsidRDefault="001234B1" w:rsidP="009F1561">
            <w:pPr>
              <w:pStyle w:val="NormalWeb"/>
              <w:jc w:val="center"/>
              <w:rPr>
                <w:color w:val="FFFFFF" w:themeColor="background1"/>
              </w:rPr>
            </w:pPr>
            <w:proofErr w:type="spellStart"/>
            <w:r w:rsidRPr="00FC5EE4">
              <w:rPr>
                <w:color w:val="FFFFFF" w:themeColor="background1"/>
              </w:rPr>
              <w:t>Other</w:t>
            </w:r>
            <w:r w:rsidRPr="00212B65">
              <w:rPr>
                <w:color w:val="FFFFFF" w:themeColor="background1"/>
                <w:vertAlign w:val="superscript"/>
              </w:rPr>
              <w:t>a</w:t>
            </w:r>
            <w:proofErr w:type="spellEnd"/>
          </w:p>
        </w:tc>
        <w:tc>
          <w:tcPr>
            <w:tcW w:w="1163" w:type="dxa"/>
            <w:vAlign w:val="center"/>
            <w:hideMark/>
          </w:tcPr>
          <w:p w:rsidR="001234B1" w:rsidRPr="00FC5EE4" w:rsidRDefault="001234B1" w:rsidP="009F1561">
            <w:pPr>
              <w:pStyle w:val="NormalWeb"/>
              <w:jc w:val="center"/>
              <w:rPr>
                <w:color w:val="FFFFFF" w:themeColor="background1"/>
              </w:rPr>
            </w:pPr>
            <w:proofErr w:type="spellStart"/>
            <w:r w:rsidRPr="00FC5EE4">
              <w:rPr>
                <w:color w:val="FFFFFF" w:themeColor="background1"/>
              </w:rPr>
              <w:t>NG</w:t>
            </w:r>
            <w:r w:rsidRPr="00212B65">
              <w:rPr>
                <w:color w:val="FFFFFF" w:themeColor="background1"/>
                <w:vertAlign w:val="superscript"/>
              </w:rPr>
              <w:t>b</w:t>
            </w:r>
            <w:proofErr w:type="spellEnd"/>
          </w:p>
        </w:tc>
        <w:tc>
          <w:tcPr>
            <w:tcW w:w="1163" w:type="dxa"/>
            <w:vAlign w:val="center"/>
            <w:hideMark/>
          </w:tcPr>
          <w:p w:rsidR="001234B1" w:rsidRPr="00FC5EE4" w:rsidRDefault="001234B1" w:rsidP="009F1561">
            <w:pPr>
              <w:pStyle w:val="NormalWeb"/>
              <w:jc w:val="center"/>
              <w:rPr>
                <w:color w:val="FFFFFF" w:themeColor="background1"/>
              </w:rPr>
            </w:pPr>
            <w:proofErr w:type="spellStart"/>
            <w:r w:rsidRPr="00FC5EE4">
              <w:rPr>
                <w:color w:val="FFFFFF" w:themeColor="background1"/>
              </w:rPr>
              <w:t>ND</w:t>
            </w:r>
            <w:r w:rsidRPr="00212B65">
              <w:rPr>
                <w:color w:val="FFFFFF" w:themeColor="background1"/>
                <w:vertAlign w:val="superscript"/>
              </w:rPr>
              <w:t>c</w:t>
            </w:r>
            <w:proofErr w:type="spellEnd"/>
          </w:p>
        </w:tc>
        <w:tc>
          <w:tcPr>
            <w:tcW w:w="707" w:type="dxa"/>
            <w:vMerge/>
            <w:hideMark/>
          </w:tcPr>
          <w:p w:rsidR="001234B1" w:rsidRPr="00FC5EE4" w:rsidRDefault="001234B1" w:rsidP="009F1561">
            <w:pPr>
              <w:jc w:val="center"/>
              <w:rPr>
                <w:color w:val="FFFFFF" w:themeColor="background1"/>
                <w:sz w:val="24"/>
                <w:szCs w:val="24"/>
              </w:rPr>
            </w:pPr>
          </w:p>
        </w:tc>
      </w:tr>
      <w:tr w:rsidR="009F1561" w:rsidTr="009F1561">
        <w:tc>
          <w:tcPr>
            <w:tcW w:w="0" w:type="auto"/>
            <w:hideMark/>
          </w:tcPr>
          <w:p w:rsidR="001234B1" w:rsidRDefault="001234B1">
            <w:pPr>
              <w:pStyle w:val="NormalWeb"/>
            </w:pPr>
            <w:r>
              <w:t>ACT</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3</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707" w:type="dxa"/>
            <w:hideMark/>
          </w:tcPr>
          <w:p w:rsidR="001234B1" w:rsidRDefault="001234B1" w:rsidP="009F1561">
            <w:pPr>
              <w:pStyle w:val="NormalWeb"/>
              <w:jc w:val="center"/>
            </w:pPr>
            <w:r>
              <w:t>3</w:t>
            </w:r>
          </w:p>
        </w:tc>
      </w:tr>
      <w:tr w:rsidR="001234B1" w:rsidTr="009F1561">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NSW</w:t>
            </w:r>
          </w:p>
        </w:tc>
        <w:tc>
          <w:tcPr>
            <w:tcW w:w="1163" w:type="dxa"/>
            <w:vAlign w:val="center"/>
            <w:hideMark/>
          </w:tcPr>
          <w:p w:rsidR="001234B1" w:rsidRDefault="001234B1" w:rsidP="009F1561">
            <w:pPr>
              <w:pStyle w:val="NormalWeb"/>
              <w:jc w:val="center"/>
            </w:pPr>
            <w:r>
              <w:t>33</w:t>
            </w:r>
          </w:p>
        </w:tc>
        <w:tc>
          <w:tcPr>
            <w:tcW w:w="1163" w:type="dxa"/>
            <w:vAlign w:val="center"/>
            <w:hideMark/>
          </w:tcPr>
          <w:p w:rsidR="001234B1" w:rsidRDefault="001234B1" w:rsidP="009F1561">
            <w:pPr>
              <w:pStyle w:val="NormalWeb"/>
              <w:jc w:val="center"/>
            </w:pPr>
            <w:r>
              <w:t>2</w:t>
            </w:r>
          </w:p>
        </w:tc>
        <w:tc>
          <w:tcPr>
            <w:tcW w:w="1163" w:type="dxa"/>
            <w:vAlign w:val="center"/>
            <w:hideMark/>
          </w:tcPr>
          <w:p w:rsidR="001234B1" w:rsidRDefault="001234B1" w:rsidP="009F1561">
            <w:pPr>
              <w:pStyle w:val="NormalWeb"/>
              <w:jc w:val="center"/>
            </w:pPr>
            <w:r>
              <w:t>15</w:t>
            </w:r>
          </w:p>
        </w:tc>
        <w:tc>
          <w:tcPr>
            <w:tcW w:w="1163" w:type="dxa"/>
            <w:vAlign w:val="center"/>
            <w:hideMark/>
          </w:tcPr>
          <w:p w:rsidR="001234B1" w:rsidRDefault="001234B1" w:rsidP="009F1561">
            <w:pPr>
              <w:pStyle w:val="NormalWeb"/>
              <w:jc w:val="center"/>
            </w:pPr>
            <w:r>
              <w:t>19</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1</w:t>
            </w:r>
          </w:p>
        </w:tc>
        <w:tc>
          <w:tcPr>
            <w:tcW w:w="707" w:type="dxa"/>
            <w:hideMark/>
          </w:tcPr>
          <w:p w:rsidR="001234B1" w:rsidRDefault="001234B1" w:rsidP="009F1561">
            <w:pPr>
              <w:pStyle w:val="NormalWeb"/>
              <w:jc w:val="center"/>
            </w:pPr>
            <w:r>
              <w:t>70</w:t>
            </w:r>
          </w:p>
        </w:tc>
      </w:tr>
      <w:tr w:rsidR="009F1561" w:rsidTr="009F1561">
        <w:tc>
          <w:tcPr>
            <w:tcW w:w="0" w:type="auto"/>
            <w:hideMark/>
          </w:tcPr>
          <w:p w:rsidR="001234B1" w:rsidRDefault="001234B1">
            <w:pPr>
              <w:pStyle w:val="NormalWeb"/>
            </w:pPr>
            <w:r>
              <w:t>NT</w:t>
            </w:r>
          </w:p>
        </w:tc>
        <w:tc>
          <w:tcPr>
            <w:tcW w:w="1163" w:type="dxa"/>
            <w:vAlign w:val="center"/>
            <w:hideMark/>
          </w:tcPr>
          <w:p w:rsidR="001234B1" w:rsidRDefault="001234B1" w:rsidP="009F1561">
            <w:pPr>
              <w:pStyle w:val="NormalWeb"/>
              <w:jc w:val="center"/>
            </w:pPr>
            <w:r>
              <w:t>3</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8</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707" w:type="dxa"/>
            <w:hideMark/>
          </w:tcPr>
          <w:p w:rsidR="001234B1" w:rsidRDefault="001234B1" w:rsidP="009F1561">
            <w:pPr>
              <w:pStyle w:val="NormalWeb"/>
              <w:jc w:val="center"/>
            </w:pPr>
            <w:r>
              <w:t>11</w:t>
            </w:r>
          </w:p>
        </w:tc>
      </w:tr>
      <w:tr w:rsidR="001234B1" w:rsidTr="009F1561">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Qld</w:t>
            </w:r>
          </w:p>
        </w:tc>
        <w:tc>
          <w:tcPr>
            <w:tcW w:w="1163" w:type="dxa"/>
            <w:vAlign w:val="center"/>
            <w:hideMark/>
          </w:tcPr>
          <w:p w:rsidR="001234B1" w:rsidRDefault="001234B1" w:rsidP="009F1561">
            <w:pPr>
              <w:pStyle w:val="NormalWeb"/>
              <w:jc w:val="center"/>
            </w:pPr>
            <w:r>
              <w:t>30</w:t>
            </w:r>
          </w:p>
        </w:tc>
        <w:tc>
          <w:tcPr>
            <w:tcW w:w="1163" w:type="dxa"/>
            <w:vAlign w:val="center"/>
            <w:hideMark/>
          </w:tcPr>
          <w:p w:rsidR="001234B1" w:rsidRDefault="001234B1" w:rsidP="009F1561">
            <w:pPr>
              <w:pStyle w:val="NormalWeb"/>
              <w:jc w:val="center"/>
            </w:pPr>
            <w:r>
              <w:t>1</w:t>
            </w:r>
          </w:p>
        </w:tc>
        <w:tc>
          <w:tcPr>
            <w:tcW w:w="1163" w:type="dxa"/>
            <w:vAlign w:val="center"/>
            <w:hideMark/>
          </w:tcPr>
          <w:p w:rsidR="001234B1" w:rsidRDefault="001234B1" w:rsidP="009F1561">
            <w:pPr>
              <w:pStyle w:val="NormalWeb"/>
              <w:jc w:val="center"/>
            </w:pPr>
            <w:r>
              <w:t>12</w:t>
            </w:r>
          </w:p>
        </w:tc>
        <w:tc>
          <w:tcPr>
            <w:tcW w:w="1163" w:type="dxa"/>
            <w:vAlign w:val="center"/>
            <w:hideMark/>
          </w:tcPr>
          <w:p w:rsidR="001234B1" w:rsidRDefault="001234B1" w:rsidP="009F1561">
            <w:pPr>
              <w:pStyle w:val="NormalWeb"/>
              <w:jc w:val="center"/>
            </w:pPr>
            <w:r>
              <w:t>13</w:t>
            </w:r>
          </w:p>
        </w:tc>
        <w:tc>
          <w:tcPr>
            <w:tcW w:w="1163" w:type="dxa"/>
            <w:vAlign w:val="center"/>
            <w:hideMark/>
          </w:tcPr>
          <w:p w:rsidR="001234B1" w:rsidRDefault="001234B1" w:rsidP="009F1561">
            <w:pPr>
              <w:pStyle w:val="NormalWeb"/>
              <w:jc w:val="center"/>
            </w:pPr>
            <w:r>
              <w:t>2</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707" w:type="dxa"/>
            <w:hideMark/>
          </w:tcPr>
          <w:p w:rsidR="001234B1" w:rsidRDefault="001234B1" w:rsidP="009F1561">
            <w:pPr>
              <w:pStyle w:val="NormalWeb"/>
              <w:jc w:val="center"/>
            </w:pPr>
            <w:r>
              <w:t>58</w:t>
            </w:r>
          </w:p>
        </w:tc>
      </w:tr>
      <w:tr w:rsidR="009F1561" w:rsidTr="009F1561">
        <w:tc>
          <w:tcPr>
            <w:tcW w:w="0" w:type="auto"/>
            <w:hideMark/>
          </w:tcPr>
          <w:p w:rsidR="001234B1" w:rsidRDefault="001234B1">
            <w:pPr>
              <w:pStyle w:val="NormalWeb"/>
            </w:pPr>
            <w:r>
              <w:t>SA</w:t>
            </w:r>
          </w:p>
        </w:tc>
        <w:tc>
          <w:tcPr>
            <w:tcW w:w="1163" w:type="dxa"/>
            <w:vAlign w:val="center"/>
            <w:hideMark/>
          </w:tcPr>
          <w:p w:rsidR="001234B1" w:rsidRDefault="001234B1" w:rsidP="009F1561">
            <w:pPr>
              <w:pStyle w:val="NormalWeb"/>
              <w:jc w:val="center"/>
            </w:pPr>
            <w:r>
              <w:t>27</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3</w:t>
            </w:r>
          </w:p>
        </w:tc>
        <w:tc>
          <w:tcPr>
            <w:tcW w:w="1163" w:type="dxa"/>
            <w:vAlign w:val="center"/>
            <w:hideMark/>
          </w:tcPr>
          <w:p w:rsidR="001234B1" w:rsidRDefault="001234B1" w:rsidP="009F1561">
            <w:pPr>
              <w:pStyle w:val="NormalWeb"/>
              <w:jc w:val="center"/>
            </w:pPr>
            <w:r>
              <w:t>4</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707" w:type="dxa"/>
            <w:hideMark/>
          </w:tcPr>
          <w:p w:rsidR="001234B1" w:rsidRDefault="001234B1" w:rsidP="009F1561">
            <w:pPr>
              <w:pStyle w:val="NormalWeb"/>
              <w:jc w:val="center"/>
            </w:pPr>
            <w:r>
              <w:t>34</w:t>
            </w:r>
          </w:p>
        </w:tc>
      </w:tr>
      <w:tr w:rsidR="001234B1" w:rsidTr="009F1561">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Tas</w:t>
            </w:r>
          </w:p>
        </w:tc>
        <w:tc>
          <w:tcPr>
            <w:tcW w:w="1163" w:type="dxa"/>
            <w:vAlign w:val="center"/>
            <w:hideMark/>
          </w:tcPr>
          <w:p w:rsidR="001234B1" w:rsidRDefault="001234B1" w:rsidP="009F1561">
            <w:pPr>
              <w:pStyle w:val="NormalWeb"/>
              <w:jc w:val="center"/>
            </w:pPr>
            <w:r>
              <w:t>4</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2</w:t>
            </w:r>
          </w:p>
        </w:tc>
        <w:tc>
          <w:tcPr>
            <w:tcW w:w="1163" w:type="dxa"/>
            <w:vAlign w:val="center"/>
            <w:hideMark/>
          </w:tcPr>
          <w:p w:rsidR="001234B1" w:rsidRDefault="001234B1" w:rsidP="009F1561">
            <w:pPr>
              <w:pStyle w:val="NormalWeb"/>
              <w:jc w:val="center"/>
            </w:pPr>
            <w:r>
              <w:t>5</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707" w:type="dxa"/>
            <w:hideMark/>
          </w:tcPr>
          <w:p w:rsidR="001234B1" w:rsidRDefault="001234B1" w:rsidP="009F1561">
            <w:pPr>
              <w:pStyle w:val="NormalWeb"/>
              <w:jc w:val="center"/>
            </w:pPr>
            <w:r>
              <w:t>11</w:t>
            </w:r>
          </w:p>
        </w:tc>
      </w:tr>
      <w:tr w:rsidR="009F1561" w:rsidTr="009F1561">
        <w:tc>
          <w:tcPr>
            <w:tcW w:w="0" w:type="auto"/>
            <w:hideMark/>
          </w:tcPr>
          <w:p w:rsidR="001234B1" w:rsidRDefault="001234B1">
            <w:pPr>
              <w:pStyle w:val="NormalWeb"/>
            </w:pPr>
            <w:r>
              <w:t>Vic</w:t>
            </w:r>
          </w:p>
        </w:tc>
        <w:tc>
          <w:tcPr>
            <w:tcW w:w="1163" w:type="dxa"/>
            <w:vAlign w:val="center"/>
            <w:hideMark/>
          </w:tcPr>
          <w:p w:rsidR="001234B1" w:rsidRDefault="001234B1" w:rsidP="009F1561">
            <w:pPr>
              <w:pStyle w:val="NormalWeb"/>
              <w:jc w:val="center"/>
            </w:pPr>
            <w:r>
              <w:t>18</w:t>
            </w:r>
          </w:p>
        </w:tc>
        <w:tc>
          <w:tcPr>
            <w:tcW w:w="1163" w:type="dxa"/>
            <w:vAlign w:val="center"/>
            <w:hideMark/>
          </w:tcPr>
          <w:p w:rsidR="001234B1" w:rsidRDefault="001234B1" w:rsidP="009F1561">
            <w:pPr>
              <w:pStyle w:val="NormalWeb"/>
              <w:jc w:val="center"/>
            </w:pPr>
            <w:r>
              <w:t>1</w:t>
            </w:r>
          </w:p>
        </w:tc>
        <w:tc>
          <w:tcPr>
            <w:tcW w:w="1163" w:type="dxa"/>
            <w:vAlign w:val="center"/>
            <w:hideMark/>
          </w:tcPr>
          <w:p w:rsidR="001234B1" w:rsidRDefault="001234B1" w:rsidP="009F1561">
            <w:pPr>
              <w:pStyle w:val="NormalWeb"/>
              <w:jc w:val="center"/>
            </w:pPr>
            <w:r>
              <w:t>10</w:t>
            </w:r>
          </w:p>
        </w:tc>
        <w:tc>
          <w:tcPr>
            <w:tcW w:w="1163" w:type="dxa"/>
            <w:vAlign w:val="center"/>
            <w:hideMark/>
          </w:tcPr>
          <w:p w:rsidR="001234B1" w:rsidRDefault="001234B1" w:rsidP="009F1561">
            <w:pPr>
              <w:pStyle w:val="NormalWeb"/>
              <w:jc w:val="center"/>
            </w:pPr>
            <w:r>
              <w:t>19</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3</w:t>
            </w:r>
          </w:p>
        </w:tc>
        <w:tc>
          <w:tcPr>
            <w:tcW w:w="707" w:type="dxa"/>
            <w:hideMark/>
          </w:tcPr>
          <w:p w:rsidR="001234B1" w:rsidRDefault="001234B1" w:rsidP="009F1561">
            <w:pPr>
              <w:pStyle w:val="NormalWeb"/>
              <w:jc w:val="center"/>
            </w:pPr>
            <w:r>
              <w:t>51</w:t>
            </w:r>
          </w:p>
        </w:tc>
      </w:tr>
      <w:tr w:rsidR="001234B1" w:rsidTr="009F1561">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WA</w:t>
            </w:r>
          </w:p>
        </w:tc>
        <w:tc>
          <w:tcPr>
            <w:tcW w:w="1163" w:type="dxa"/>
            <w:vAlign w:val="center"/>
            <w:hideMark/>
          </w:tcPr>
          <w:p w:rsidR="001234B1" w:rsidRDefault="001234B1" w:rsidP="009F1561">
            <w:pPr>
              <w:pStyle w:val="NormalWeb"/>
              <w:jc w:val="center"/>
            </w:pPr>
            <w:r>
              <w:t>8</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2</w:t>
            </w:r>
          </w:p>
        </w:tc>
        <w:tc>
          <w:tcPr>
            <w:tcW w:w="1163" w:type="dxa"/>
            <w:vAlign w:val="center"/>
            <w:hideMark/>
          </w:tcPr>
          <w:p w:rsidR="001234B1" w:rsidRDefault="001234B1" w:rsidP="009F1561">
            <w:pPr>
              <w:pStyle w:val="NormalWeb"/>
              <w:jc w:val="center"/>
            </w:pPr>
            <w:r>
              <w:t>30</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1163" w:type="dxa"/>
            <w:vAlign w:val="center"/>
            <w:hideMark/>
          </w:tcPr>
          <w:p w:rsidR="001234B1" w:rsidRDefault="001234B1" w:rsidP="009F1561">
            <w:pPr>
              <w:pStyle w:val="NormalWeb"/>
              <w:jc w:val="center"/>
            </w:pPr>
            <w:r>
              <w:t>0</w:t>
            </w:r>
          </w:p>
        </w:tc>
        <w:tc>
          <w:tcPr>
            <w:tcW w:w="707" w:type="dxa"/>
            <w:hideMark/>
          </w:tcPr>
          <w:p w:rsidR="001234B1" w:rsidRDefault="001234B1" w:rsidP="009F1561">
            <w:pPr>
              <w:pStyle w:val="NormalWeb"/>
              <w:jc w:val="center"/>
            </w:pPr>
            <w:r>
              <w:t>40</w:t>
            </w:r>
          </w:p>
        </w:tc>
      </w:tr>
      <w:tr w:rsidR="009F1561" w:rsidRPr="00D25601" w:rsidTr="00D25601">
        <w:tc>
          <w:tcPr>
            <w:tcW w:w="0" w:type="auto"/>
            <w:shd w:val="clear" w:color="auto" w:fill="FDE9D9" w:themeFill="accent6" w:themeFillTint="33"/>
            <w:hideMark/>
          </w:tcPr>
          <w:p w:rsidR="001234B1" w:rsidRPr="00D25601" w:rsidRDefault="001234B1">
            <w:pPr>
              <w:pStyle w:val="NormalWeb"/>
              <w:rPr>
                <w:b/>
              </w:rPr>
            </w:pPr>
            <w:r w:rsidRPr="00D25601">
              <w:rPr>
                <w:b/>
              </w:rPr>
              <w:t>Australia</w:t>
            </w:r>
          </w:p>
        </w:tc>
        <w:tc>
          <w:tcPr>
            <w:tcW w:w="1163" w:type="dxa"/>
            <w:shd w:val="clear" w:color="auto" w:fill="FDE9D9" w:themeFill="accent6" w:themeFillTint="33"/>
            <w:vAlign w:val="center"/>
            <w:hideMark/>
          </w:tcPr>
          <w:p w:rsidR="001234B1" w:rsidRPr="00D25601" w:rsidRDefault="001234B1" w:rsidP="009F1561">
            <w:pPr>
              <w:pStyle w:val="NormalWeb"/>
              <w:jc w:val="center"/>
              <w:rPr>
                <w:b/>
              </w:rPr>
            </w:pPr>
            <w:r w:rsidRPr="00D25601">
              <w:rPr>
                <w:b/>
              </w:rPr>
              <w:t>123</w:t>
            </w:r>
          </w:p>
        </w:tc>
        <w:tc>
          <w:tcPr>
            <w:tcW w:w="1163" w:type="dxa"/>
            <w:shd w:val="clear" w:color="auto" w:fill="FDE9D9" w:themeFill="accent6" w:themeFillTint="33"/>
            <w:vAlign w:val="center"/>
            <w:hideMark/>
          </w:tcPr>
          <w:p w:rsidR="001234B1" w:rsidRPr="00D25601" w:rsidRDefault="001234B1" w:rsidP="009F1561">
            <w:pPr>
              <w:pStyle w:val="NormalWeb"/>
              <w:jc w:val="center"/>
              <w:rPr>
                <w:b/>
              </w:rPr>
            </w:pPr>
            <w:r w:rsidRPr="00D25601">
              <w:rPr>
                <w:b/>
              </w:rPr>
              <w:t>4</w:t>
            </w:r>
          </w:p>
        </w:tc>
        <w:tc>
          <w:tcPr>
            <w:tcW w:w="1163" w:type="dxa"/>
            <w:shd w:val="clear" w:color="auto" w:fill="FDE9D9" w:themeFill="accent6" w:themeFillTint="33"/>
            <w:vAlign w:val="center"/>
            <w:hideMark/>
          </w:tcPr>
          <w:p w:rsidR="001234B1" w:rsidRPr="00D25601" w:rsidRDefault="001234B1" w:rsidP="009F1561">
            <w:pPr>
              <w:pStyle w:val="NormalWeb"/>
              <w:jc w:val="center"/>
              <w:rPr>
                <w:b/>
              </w:rPr>
            </w:pPr>
            <w:r w:rsidRPr="00D25601">
              <w:rPr>
                <w:b/>
              </w:rPr>
              <w:t>44</w:t>
            </w:r>
          </w:p>
        </w:tc>
        <w:tc>
          <w:tcPr>
            <w:tcW w:w="1163" w:type="dxa"/>
            <w:shd w:val="clear" w:color="auto" w:fill="FDE9D9" w:themeFill="accent6" w:themeFillTint="33"/>
            <w:vAlign w:val="center"/>
            <w:hideMark/>
          </w:tcPr>
          <w:p w:rsidR="001234B1" w:rsidRPr="00D25601" w:rsidRDefault="001234B1" w:rsidP="009F1561">
            <w:pPr>
              <w:pStyle w:val="NormalWeb"/>
              <w:jc w:val="center"/>
              <w:rPr>
                <w:b/>
              </w:rPr>
            </w:pPr>
            <w:r w:rsidRPr="00D25601">
              <w:rPr>
                <w:b/>
              </w:rPr>
              <w:t>101</w:t>
            </w:r>
          </w:p>
        </w:tc>
        <w:tc>
          <w:tcPr>
            <w:tcW w:w="1163" w:type="dxa"/>
            <w:shd w:val="clear" w:color="auto" w:fill="FDE9D9" w:themeFill="accent6" w:themeFillTint="33"/>
            <w:vAlign w:val="center"/>
            <w:hideMark/>
          </w:tcPr>
          <w:p w:rsidR="001234B1" w:rsidRPr="00D25601" w:rsidRDefault="001234B1" w:rsidP="009F1561">
            <w:pPr>
              <w:pStyle w:val="NormalWeb"/>
              <w:jc w:val="center"/>
              <w:rPr>
                <w:b/>
              </w:rPr>
            </w:pPr>
            <w:r w:rsidRPr="00D25601">
              <w:rPr>
                <w:b/>
              </w:rPr>
              <w:t>2</w:t>
            </w:r>
          </w:p>
        </w:tc>
        <w:tc>
          <w:tcPr>
            <w:tcW w:w="1163" w:type="dxa"/>
            <w:shd w:val="clear" w:color="auto" w:fill="FDE9D9" w:themeFill="accent6" w:themeFillTint="33"/>
            <w:vAlign w:val="center"/>
            <w:hideMark/>
          </w:tcPr>
          <w:p w:rsidR="001234B1" w:rsidRPr="00D25601" w:rsidRDefault="001234B1" w:rsidP="009F1561">
            <w:pPr>
              <w:pStyle w:val="NormalWeb"/>
              <w:jc w:val="center"/>
              <w:rPr>
                <w:b/>
              </w:rPr>
            </w:pPr>
            <w:r w:rsidRPr="00D25601">
              <w:rPr>
                <w:b/>
              </w:rPr>
              <w:t>0</w:t>
            </w:r>
          </w:p>
        </w:tc>
        <w:tc>
          <w:tcPr>
            <w:tcW w:w="1163" w:type="dxa"/>
            <w:shd w:val="clear" w:color="auto" w:fill="FDE9D9" w:themeFill="accent6" w:themeFillTint="33"/>
            <w:vAlign w:val="center"/>
            <w:hideMark/>
          </w:tcPr>
          <w:p w:rsidR="001234B1" w:rsidRPr="00D25601" w:rsidRDefault="001234B1" w:rsidP="009F1561">
            <w:pPr>
              <w:pStyle w:val="NormalWeb"/>
              <w:jc w:val="center"/>
              <w:rPr>
                <w:b/>
              </w:rPr>
            </w:pPr>
            <w:r w:rsidRPr="00D25601">
              <w:rPr>
                <w:b/>
              </w:rPr>
              <w:t>4</w:t>
            </w:r>
          </w:p>
        </w:tc>
        <w:tc>
          <w:tcPr>
            <w:tcW w:w="707" w:type="dxa"/>
            <w:shd w:val="clear" w:color="auto" w:fill="FDE9D9" w:themeFill="accent6" w:themeFillTint="33"/>
            <w:hideMark/>
          </w:tcPr>
          <w:p w:rsidR="001234B1" w:rsidRPr="00D25601" w:rsidRDefault="001234B1" w:rsidP="009F1561">
            <w:pPr>
              <w:pStyle w:val="NormalWeb"/>
              <w:jc w:val="center"/>
              <w:rPr>
                <w:b/>
              </w:rPr>
            </w:pPr>
            <w:r w:rsidRPr="00D25601">
              <w:rPr>
                <w:b/>
              </w:rPr>
              <w:t>278</w:t>
            </w:r>
          </w:p>
        </w:tc>
      </w:tr>
      <w:tr w:rsidR="001234B1" w:rsidTr="009F1561">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tc>
        <w:tc>
          <w:tcPr>
            <w:tcW w:w="1163" w:type="dxa"/>
            <w:vAlign w:val="center"/>
            <w:hideMark/>
          </w:tcPr>
          <w:p w:rsidR="001234B1" w:rsidRDefault="001234B1" w:rsidP="009F1561">
            <w:pPr>
              <w:pStyle w:val="NormalWeb"/>
              <w:jc w:val="center"/>
              <w:rPr>
                <w:sz w:val="24"/>
                <w:szCs w:val="24"/>
              </w:rPr>
            </w:pPr>
            <w:r>
              <w:t>44.2</w:t>
            </w:r>
          </w:p>
        </w:tc>
        <w:tc>
          <w:tcPr>
            <w:tcW w:w="1163" w:type="dxa"/>
            <w:vAlign w:val="center"/>
            <w:hideMark/>
          </w:tcPr>
          <w:p w:rsidR="001234B1" w:rsidRDefault="001234B1" w:rsidP="009F1561">
            <w:pPr>
              <w:pStyle w:val="NormalWeb"/>
              <w:jc w:val="center"/>
            </w:pPr>
            <w:r>
              <w:t>1.4</w:t>
            </w:r>
          </w:p>
        </w:tc>
        <w:tc>
          <w:tcPr>
            <w:tcW w:w="1163" w:type="dxa"/>
            <w:vAlign w:val="center"/>
            <w:hideMark/>
          </w:tcPr>
          <w:p w:rsidR="001234B1" w:rsidRDefault="001234B1" w:rsidP="009F1561">
            <w:pPr>
              <w:pStyle w:val="NormalWeb"/>
              <w:jc w:val="center"/>
            </w:pPr>
            <w:r>
              <w:t>15.8</w:t>
            </w:r>
          </w:p>
        </w:tc>
        <w:tc>
          <w:tcPr>
            <w:tcW w:w="1163" w:type="dxa"/>
            <w:vAlign w:val="center"/>
            <w:hideMark/>
          </w:tcPr>
          <w:p w:rsidR="001234B1" w:rsidRDefault="001234B1" w:rsidP="009F1561">
            <w:pPr>
              <w:pStyle w:val="NormalWeb"/>
              <w:jc w:val="center"/>
            </w:pPr>
            <w:r>
              <w:t>36.3</w:t>
            </w:r>
          </w:p>
        </w:tc>
        <w:tc>
          <w:tcPr>
            <w:tcW w:w="1163" w:type="dxa"/>
            <w:vAlign w:val="center"/>
            <w:hideMark/>
          </w:tcPr>
          <w:p w:rsidR="001234B1" w:rsidRDefault="001234B1" w:rsidP="009F1561">
            <w:pPr>
              <w:pStyle w:val="NormalWeb"/>
              <w:jc w:val="center"/>
            </w:pPr>
            <w:r>
              <w:t>0.7</w:t>
            </w:r>
          </w:p>
        </w:tc>
        <w:tc>
          <w:tcPr>
            <w:tcW w:w="1163" w:type="dxa"/>
            <w:vAlign w:val="center"/>
            <w:hideMark/>
          </w:tcPr>
          <w:p w:rsidR="001234B1" w:rsidRDefault="001234B1" w:rsidP="009F1561">
            <w:pPr>
              <w:pStyle w:val="NormalWeb"/>
              <w:jc w:val="center"/>
            </w:pPr>
            <w:r>
              <w:t>0.0</w:t>
            </w:r>
          </w:p>
        </w:tc>
        <w:tc>
          <w:tcPr>
            <w:tcW w:w="1163" w:type="dxa"/>
            <w:vAlign w:val="center"/>
            <w:hideMark/>
          </w:tcPr>
          <w:p w:rsidR="001234B1" w:rsidRDefault="001234B1" w:rsidP="009F1561">
            <w:pPr>
              <w:pStyle w:val="NormalWeb"/>
              <w:jc w:val="center"/>
            </w:pPr>
            <w:r>
              <w:t>1.4</w:t>
            </w:r>
          </w:p>
        </w:tc>
        <w:tc>
          <w:tcPr>
            <w:tcW w:w="707" w:type="dxa"/>
            <w:hideMark/>
          </w:tcPr>
          <w:p w:rsidR="001234B1" w:rsidRDefault="001234B1" w:rsidP="009F1561">
            <w:pPr>
              <w:pStyle w:val="NormalWeb"/>
              <w:jc w:val="center"/>
            </w:pPr>
            <w:r>
              <w:t>%</w:t>
            </w:r>
          </w:p>
        </w:tc>
      </w:tr>
    </w:tbl>
    <w:p w:rsidR="001234B1" w:rsidRDefault="001234B1" w:rsidP="001234B1">
      <w:pPr>
        <w:pStyle w:val="CDIfootnotes"/>
      </w:pPr>
      <w:proofErr w:type="spellStart"/>
      <w:proofErr w:type="gramStart"/>
      <w:r>
        <w:t>a</w:t>
      </w:r>
      <w:proofErr w:type="spellEnd"/>
      <w:proofErr w:type="gramEnd"/>
      <w:r>
        <w:tab/>
        <w:t xml:space="preserve">Other: </w:t>
      </w:r>
      <w:proofErr w:type="spellStart"/>
      <w:r>
        <w:t>serogroup</w:t>
      </w:r>
      <w:proofErr w:type="spellEnd"/>
      <w:r>
        <w:t xml:space="preserve"> E</w:t>
      </w:r>
    </w:p>
    <w:p w:rsidR="001234B1" w:rsidRDefault="001234B1" w:rsidP="001234B1">
      <w:pPr>
        <w:pStyle w:val="CDIfootnotes"/>
      </w:pPr>
      <w:proofErr w:type="gramStart"/>
      <w:r>
        <w:t>b</w:t>
      </w:r>
      <w:proofErr w:type="gramEnd"/>
      <w:r>
        <w:tab/>
        <w:t xml:space="preserve">Non </w:t>
      </w:r>
      <w:proofErr w:type="spellStart"/>
      <w:r>
        <w:t>groupable</w:t>
      </w:r>
      <w:proofErr w:type="spellEnd"/>
    </w:p>
    <w:p w:rsidR="001234B1" w:rsidRDefault="001234B1" w:rsidP="001234B1">
      <w:pPr>
        <w:pStyle w:val="CDIfootnotes"/>
      </w:pPr>
      <w:proofErr w:type="gramStart"/>
      <w:r>
        <w:t>c</w:t>
      </w:r>
      <w:proofErr w:type="gramEnd"/>
      <w:r>
        <w:tab/>
        <w:t>Not determined</w:t>
      </w:r>
    </w:p>
    <w:p w:rsidR="001234B1" w:rsidRDefault="001234B1" w:rsidP="001234B1">
      <w:pPr>
        <w:pStyle w:val="CDIFigures"/>
      </w:pPr>
      <w:r>
        <w:t xml:space="preserve">Table 3: Laboratory-confirmed cases of invasive meningococcal disease, Australia, 2018, by age and </w:t>
      </w:r>
      <w:proofErr w:type="spellStart"/>
      <w:r>
        <w:t>serogroup</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Laboratory confirmed cases of invasive meningococcal disease, Australia, 2018, by age and serogroup&#10;Table 3 shows the number of laboratory cases of invasive meningococcal disease (IMD) in 2018, grouped by age group and serogroup."/>
      </w:tblPr>
      <w:tblGrid>
        <w:gridCol w:w="1806"/>
        <w:gridCol w:w="870"/>
        <w:gridCol w:w="870"/>
        <w:gridCol w:w="871"/>
        <w:gridCol w:w="870"/>
        <w:gridCol w:w="870"/>
        <w:gridCol w:w="871"/>
        <w:gridCol w:w="870"/>
        <w:gridCol w:w="870"/>
        <w:gridCol w:w="871"/>
        <w:gridCol w:w="801"/>
      </w:tblGrid>
      <w:tr w:rsidR="003D502B" w:rsidRPr="003D502B" w:rsidTr="00CA26C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rsidR="001234B1" w:rsidRPr="003D502B" w:rsidRDefault="001234B1">
            <w:pPr>
              <w:pStyle w:val="NormalWeb"/>
              <w:rPr>
                <w:color w:val="FFFFFF" w:themeColor="background1"/>
              </w:rPr>
            </w:pPr>
            <w:proofErr w:type="spellStart"/>
            <w:r w:rsidRPr="003D502B">
              <w:rPr>
                <w:color w:val="FFFFFF" w:themeColor="background1"/>
              </w:rPr>
              <w:t>Serogroup</w:t>
            </w:r>
            <w:proofErr w:type="spellEnd"/>
          </w:p>
        </w:tc>
        <w:tc>
          <w:tcPr>
            <w:tcW w:w="7833" w:type="dxa"/>
            <w:gridSpan w:val="9"/>
            <w:hideMark/>
          </w:tcPr>
          <w:p w:rsidR="001234B1" w:rsidRPr="003D502B" w:rsidRDefault="001234B1" w:rsidP="00CA26C1">
            <w:pPr>
              <w:pStyle w:val="NormalWeb"/>
              <w:jc w:val="center"/>
              <w:rPr>
                <w:color w:val="FFFFFF" w:themeColor="background1"/>
              </w:rPr>
            </w:pPr>
            <w:r w:rsidRPr="003D502B">
              <w:rPr>
                <w:color w:val="FFFFFF" w:themeColor="background1"/>
              </w:rPr>
              <w:t>Age group</w:t>
            </w:r>
          </w:p>
        </w:tc>
        <w:tc>
          <w:tcPr>
            <w:tcW w:w="801" w:type="dxa"/>
            <w:vMerge w:val="restart"/>
            <w:hideMark/>
          </w:tcPr>
          <w:p w:rsidR="001234B1" w:rsidRPr="003D502B" w:rsidRDefault="001234B1" w:rsidP="00283EC8">
            <w:pPr>
              <w:pStyle w:val="NormalWeb"/>
              <w:jc w:val="center"/>
              <w:rPr>
                <w:color w:val="FFFFFF" w:themeColor="background1"/>
              </w:rPr>
            </w:pPr>
            <w:r w:rsidRPr="003D502B">
              <w:rPr>
                <w:color w:val="FFFFFF" w:themeColor="background1"/>
              </w:rPr>
              <w:t>Total</w:t>
            </w:r>
          </w:p>
        </w:tc>
      </w:tr>
      <w:tr w:rsidR="003D502B" w:rsidRPr="003D502B" w:rsidTr="00CA26C1">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rsidR="001234B1" w:rsidRPr="003D502B" w:rsidRDefault="001234B1">
            <w:pPr>
              <w:rPr>
                <w:color w:val="FFFFFF" w:themeColor="background1"/>
                <w:sz w:val="24"/>
                <w:szCs w:val="24"/>
              </w:rPr>
            </w:pPr>
          </w:p>
        </w:tc>
        <w:tc>
          <w:tcPr>
            <w:tcW w:w="870" w:type="dxa"/>
            <w:hideMark/>
          </w:tcPr>
          <w:p w:rsidR="001234B1" w:rsidRPr="003D502B" w:rsidRDefault="001234B1" w:rsidP="00CA26C1">
            <w:pPr>
              <w:pStyle w:val="NormalWeb"/>
              <w:jc w:val="center"/>
              <w:rPr>
                <w:color w:val="FFFFFF" w:themeColor="background1"/>
              </w:rPr>
            </w:pPr>
            <w:r w:rsidRPr="003D502B">
              <w:rPr>
                <w:color w:val="FFFFFF" w:themeColor="background1"/>
              </w:rPr>
              <w:t>&lt; 1</w:t>
            </w:r>
          </w:p>
        </w:tc>
        <w:tc>
          <w:tcPr>
            <w:tcW w:w="870" w:type="dxa"/>
            <w:hideMark/>
          </w:tcPr>
          <w:p w:rsidR="001234B1" w:rsidRPr="003D502B" w:rsidRDefault="001234B1" w:rsidP="00CA26C1">
            <w:pPr>
              <w:pStyle w:val="NormalWeb"/>
              <w:jc w:val="center"/>
              <w:rPr>
                <w:color w:val="FFFFFF" w:themeColor="background1"/>
              </w:rPr>
            </w:pPr>
            <w:r w:rsidRPr="003D502B">
              <w:rPr>
                <w:color w:val="FFFFFF" w:themeColor="background1"/>
              </w:rPr>
              <w:t>1–4</w:t>
            </w:r>
          </w:p>
        </w:tc>
        <w:tc>
          <w:tcPr>
            <w:tcW w:w="871" w:type="dxa"/>
            <w:hideMark/>
          </w:tcPr>
          <w:p w:rsidR="001234B1" w:rsidRPr="003D502B" w:rsidRDefault="001234B1" w:rsidP="00CA26C1">
            <w:pPr>
              <w:pStyle w:val="NormalWeb"/>
              <w:jc w:val="center"/>
              <w:rPr>
                <w:color w:val="FFFFFF" w:themeColor="background1"/>
              </w:rPr>
            </w:pPr>
            <w:r w:rsidRPr="003D502B">
              <w:rPr>
                <w:color w:val="FFFFFF" w:themeColor="background1"/>
              </w:rPr>
              <w:t>5–9</w:t>
            </w:r>
          </w:p>
        </w:tc>
        <w:tc>
          <w:tcPr>
            <w:tcW w:w="870" w:type="dxa"/>
            <w:hideMark/>
          </w:tcPr>
          <w:p w:rsidR="001234B1" w:rsidRPr="003D502B" w:rsidRDefault="001234B1" w:rsidP="00CA26C1">
            <w:pPr>
              <w:pStyle w:val="NormalWeb"/>
              <w:jc w:val="center"/>
              <w:rPr>
                <w:color w:val="FFFFFF" w:themeColor="background1"/>
              </w:rPr>
            </w:pPr>
            <w:r w:rsidRPr="003D502B">
              <w:rPr>
                <w:color w:val="FFFFFF" w:themeColor="background1"/>
              </w:rPr>
              <w:t>10–14</w:t>
            </w:r>
          </w:p>
        </w:tc>
        <w:tc>
          <w:tcPr>
            <w:tcW w:w="870" w:type="dxa"/>
            <w:hideMark/>
          </w:tcPr>
          <w:p w:rsidR="001234B1" w:rsidRPr="003D502B" w:rsidRDefault="001234B1" w:rsidP="00CA26C1">
            <w:pPr>
              <w:pStyle w:val="NormalWeb"/>
              <w:jc w:val="center"/>
              <w:rPr>
                <w:color w:val="FFFFFF" w:themeColor="background1"/>
              </w:rPr>
            </w:pPr>
            <w:r w:rsidRPr="003D502B">
              <w:rPr>
                <w:color w:val="FFFFFF" w:themeColor="background1"/>
              </w:rPr>
              <w:t>15–19</w:t>
            </w:r>
          </w:p>
        </w:tc>
        <w:tc>
          <w:tcPr>
            <w:tcW w:w="871" w:type="dxa"/>
            <w:hideMark/>
          </w:tcPr>
          <w:p w:rsidR="001234B1" w:rsidRPr="003D502B" w:rsidRDefault="001234B1" w:rsidP="00CA26C1">
            <w:pPr>
              <w:pStyle w:val="NormalWeb"/>
              <w:jc w:val="center"/>
              <w:rPr>
                <w:color w:val="FFFFFF" w:themeColor="background1"/>
              </w:rPr>
            </w:pPr>
            <w:r w:rsidRPr="003D502B">
              <w:rPr>
                <w:color w:val="FFFFFF" w:themeColor="background1"/>
              </w:rPr>
              <w:t>20–24</w:t>
            </w:r>
          </w:p>
        </w:tc>
        <w:tc>
          <w:tcPr>
            <w:tcW w:w="870" w:type="dxa"/>
            <w:hideMark/>
          </w:tcPr>
          <w:p w:rsidR="001234B1" w:rsidRPr="003D502B" w:rsidRDefault="001234B1" w:rsidP="00CA26C1">
            <w:pPr>
              <w:pStyle w:val="NormalWeb"/>
              <w:jc w:val="center"/>
              <w:rPr>
                <w:color w:val="FFFFFF" w:themeColor="background1"/>
              </w:rPr>
            </w:pPr>
            <w:r w:rsidRPr="003D502B">
              <w:rPr>
                <w:color w:val="FFFFFF" w:themeColor="background1"/>
              </w:rPr>
              <w:t>25–44</w:t>
            </w:r>
          </w:p>
        </w:tc>
        <w:tc>
          <w:tcPr>
            <w:tcW w:w="870" w:type="dxa"/>
            <w:hideMark/>
          </w:tcPr>
          <w:p w:rsidR="001234B1" w:rsidRPr="003D502B" w:rsidRDefault="001234B1" w:rsidP="00CA26C1">
            <w:pPr>
              <w:pStyle w:val="NormalWeb"/>
              <w:jc w:val="center"/>
              <w:rPr>
                <w:color w:val="FFFFFF" w:themeColor="background1"/>
              </w:rPr>
            </w:pPr>
            <w:r w:rsidRPr="003D502B">
              <w:rPr>
                <w:color w:val="FFFFFF" w:themeColor="background1"/>
              </w:rPr>
              <w:t>45–64</w:t>
            </w:r>
          </w:p>
        </w:tc>
        <w:tc>
          <w:tcPr>
            <w:tcW w:w="871" w:type="dxa"/>
            <w:hideMark/>
          </w:tcPr>
          <w:p w:rsidR="001234B1" w:rsidRPr="003D502B" w:rsidRDefault="001234B1" w:rsidP="00CA26C1">
            <w:pPr>
              <w:pStyle w:val="NormalWeb"/>
              <w:jc w:val="center"/>
              <w:rPr>
                <w:color w:val="FFFFFF" w:themeColor="background1"/>
              </w:rPr>
            </w:pPr>
            <w:r w:rsidRPr="003D502B">
              <w:rPr>
                <w:color w:val="FFFFFF" w:themeColor="background1"/>
              </w:rPr>
              <w:t>65+</w:t>
            </w:r>
          </w:p>
        </w:tc>
        <w:tc>
          <w:tcPr>
            <w:tcW w:w="801" w:type="dxa"/>
            <w:vMerge/>
            <w:hideMark/>
          </w:tcPr>
          <w:p w:rsidR="001234B1" w:rsidRPr="003D502B" w:rsidRDefault="001234B1" w:rsidP="00283EC8">
            <w:pPr>
              <w:jc w:val="center"/>
              <w:rPr>
                <w:color w:val="FFFFFF" w:themeColor="background1"/>
                <w:sz w:val="24"/>
                <w:szCs w:val="24"/>
              </w:rPr>
            </w:pPr>
          </w:p>
        </w:tc>
      </w:tr>
      <w:tr w:rsidR="003D502B" w:rsidTr="00CA26C1">
        <w:tc>
          <w:tcPr>
            <w:tcW w:w="0" w:type="auto"/>
            <w:hideMark/>
          </w:tcPr>
          <w:p w:rsidR="001234B1" w:rsidRDefault="001234B1">
            <w:pPr>
              <w:pStyle w:val="NormalWeb"/>
            </w:pPr>
            <w:r>
              <w:t>B</w:t>
            </w:r>
          </w:p>
        </w:tc>
        <w:tc>
          <w:tcPr>
            <w:tcW w:w="870" w:type="dxa"/>
            <w:hideMark/>
          </w:tcPr>
          <w:p w:rsidR="001234B1" w:rsidRDefault="001234B1" w:rsidP="00CA26C1">
            <w:pPr>
              <w:pStyle w:val="NormalWeb"/>
              <w:jc w:val="center"/>
            </w:pPr>
            <w:r>
              <w:t>23</w:t>
            </w:r>
          </w:p>
        </w:tc>
        <w:tc>
          <w:tcPr>
            <w:tcW w:w="870" w:type="dxa"/>
            <w:hideMark/>
          </w:tcPr>
          <w:p w:rsidR="001234B1" w:rsidRDefault="001234B1" w:rsidP="00CA26C1">
            <w:pPr>
              <w:pStyle w:val="NormalWeb"/>
              <w:jc w:val="center"/>
            </w:pPr>
            <w:r>
              <w:t>22</w:t>
            </w:r>
          </w:p>
        </w:tc>
        <w:tc>
          <w:tcPr>
            <w:tcW w:w="871" w:type="dxa"/>
            <w:hideMark/>
          </w:tcPr>
          <w:p w:rsidR="001234B1" w:rsidRDefault="001234B1" w:rsidP="00CA26C1">
            <w:pPr>
              <w:pStyle w:val="NormalWeb"/>
              <w:jc w:val="center"/>
            </w:pPr>
            <w:r>
              <w:t>5</w:t>
            </w:r>
          </w:p>
        </w:tc>
        <w:tc>
          <w:tcPr>
            <w:tcW w:w="870" w:type="dxa"/>
            <w:hideMark/>
          </w:tcPr>
          <w:p w:rsidR="001234B1" w:rsidRDefault="001234B1" w:rsidP="00CA26C1">
            <w:pPr>
              <w:pStyle w:val="NormalWeb"/>
              <w:jc w:val="center"/>
            </w:pPr>
            <w:r>
              <w:t>4</w:t>
            </w:r>
          </w:p>
        </w:tc>
        <w:tc>
          <w:tcPr>
            <w:tcW w:w="870" w:type="dxa"/>
            <w:hideMark/>
          </w:tcPr>
          <w:p w:rsidR="001234B1" w:rsidRDefault="001234B1" w:rsidP="00CA26C1">
            <w:pPr>
              <w:pStyle w:val="NormalWeb"/>
              <w:jc w:val="center"/>
            </w:pPr>
            <w:r>
              <w:t>21</w:t>
            </w:r>
          </w:p>
        </w:tc>
        <w:tc>
          <w:tcPr>
            <w:tcW w:w="871" w:type="dxa"/>
            <w:hideMark/>
          </w:tcPr>
          <w:p w:rsidR="001234B1" w:rsidRDefault="001234B1" w:rsidP="00CA26C1">
            <w:pPr>
              <w:pStyle w:val="NormalWeb"/>
              <w:jc w:val="center"/>
            </w:pPr>
            <w:r>
              <w:t>12</w:t>
            </w:r>
          </w:p>
        </w:tc>
        <w:tc>
          <w:tcPr>
            <w:tcW w:w="870" w:type="dxa"/>
            <w:hideMark/>
          </w:tcPr>
          <w:p w:rsidR="001234B1" w:rsidRDefault="001234B1" w:rsidP="00CA26C1">
            <w:pPr>
              <w:pStyle w:val="NormalWeb"/>
              <w:jc w:val="center"/>
            </w:pPr>
            <w:r>
              <w:t>15</w:t>
            </w:r>
          </w:p>
        </w:tc>
        <w:tc>
          <w:tcPr>
            <w:tcW w:w="870" w:type="dxa"/>
            <w:hideMark/>
          </w:tcPr>
          <w:p w:rsidR="001234B1" w:rsidRDefault="001234B1" w:rsidP="00CA26C1">
            <w:pPr>
              <w:pStyle w:val="NormalWeb"/>
              <w:jc w:val="center"/>
            </w:pPr>
            <w:r>
              <w:t>11</w:t>
            </w:r>
          </w:p>
        </w:tc>
        <w:tc>
          <w:tcPr>
            <w:tcW w:w="871" w:type="dxa"/>
            <w:hideMark/>
          </w:tcPr>
          <w:p w:rsidR="001234B1" w:rsidRDefault="001234B1" w:rsidP="00CA26C1">
            <w:pPr>
              <w:pStyle w:val="NormalWeb"/>
              <w:jc w:val="center"/>
            </w:pPr>
            <w:r>
              <w:t>10</w:t>
            </w:r>
          </w:p>
        </w:tc>
        <w:tc>
          <w:tcPr>
            <w:tcW w:w="801" w:type="dxa"/>
            <w:hideMark/>
          </w:tcPr>
          <w:p w:rsidR="001234B1" w:rsidRDefault="001234B1" w:rsidP="00283EC8">
            <w:pPr>
              <w:pStyle w:val="NormalWeb"/>
              <w:jc w:val="center"/>
            </w:pPr>
            <w:r>
              <w:t>123</w:t>
            </w:r>
          </w:p>
        </w:tc>
      </w:tr>
      <w:tr w:rsidR="001234B1" w:rsidTr="00CA26C1">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C</w:t>
            </w:r>
          </w:p>
        </w:tc>
        <w:tc>
          <w:tcPr>
            <w:tcW w:w="870"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0</w:t>
            </w:r>
          </w:p>
        </w:tc>
        <w:tc>
          <w:tcPr>
            <w:tcW w:w="871"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1</w:t>
            </w:r>
          </w:p>
        </w:tc>
        <w:tc>
          <w:tcPr>
            <w:tcW w:w="871"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2</w:t>
            </w:r>
          </w:p>
        </w:tc>
        <w:tc>
          <w:tcPr>
            <w:tcW w:w="870" w:type="dxa"/>
            <w:hideMark/>
          </w:tcPr>
          <w:p w:rsidR="001234B1" w:rsidRDefault="001234B1" w:rsidP="00CA26C1">
            <w:pPr>
              <w:pStyle w:val="NormalWeb"/>
              <w:jc w:val="center"/>
            </w:pPr>
            <w:r>
              <w:t>0</w:t>
            </w:r>
          </w:p>
        </w:tc>
        <w:tc>
          <w:tcPr>
            <w:tcW w:w="871" w:type="dxa"/>
            <w:hideMark/>
          </w:tcPr>
          <w:p w:rsidR="001234B1" w:rsidRDefault="001234B1" w:rsidP="00CA26C1">
            <w:pPr>
              <w:pStyle w:val="NormalWeb"/>
              <w:jc w:val="center"/>
            </w:pPr>
            <w:r>
              <w:t>1</w:t>
            </w:r>
          </w:p>
        </w:tc>
        <w:tc>
          <w:tcPr>
            <w:tcW w:w="801" w:type="dxa"/>
            <w:hideMark/>
          </w:tcPr>
          <w:p w:rsidR="001234B1" w:rsidRDefault="001234B1" w:rsidP="00283EC8">
            <w:pPr>
              <w:pStyle w:val="NormalWeb"/>
              <w:jc w:val="center"/>
            </w:pPr>
            <w:r>
              <w:t>4</w:t>
            </w:r>
          </w:p>
        </w:tc>
      </w:tr>
      <w:tr w:rsidR="003D502B" w:rsidTr="00CA26C1">
        <w:tc>
          <w:tcPr>
            <w:tcW w:w="0" w:type="auto"/>
            <w:hideMark/>
          </w:tcPr>
          <w:p w:rsidR="001234B1" w:rsidRDefault="001234B1">
            <w:pPr>
              <w:pStyle w:val="NormalWeb"/>
            </w:pPr>
            <w:r>
              <w:t>Y</w:t>
            </w:r>
          </w:p>
        </w:tc>
        <w:tc>
          <w:tcPr>
            <w:tcW w:w="870" w:type="dxa"/>
            <w:hideMark/>
          </w:tcPr>
          <w:p w:rsidR="001234B1" w:rsidRDefault="001234B1" w:rsidP="00CA26C1">
            <w:pPr>
              <w:pStyle w:val="NormalWeb"/>
              <w:jc w:val="center"/>
            </w:pPr>
            <w:r>
              <w:t>2</w:t>
            </w:r>
          </w:p>
        </w:tc>
        <w:tc>
          <w:tcPr>
            <w:tcW w:w="870" w:type="dxa"/>
            <w:hideMark/>
          </w:tcPr>
          <w:p w:rsidR="001234B1" w:rsidRDefault="001234B1" w:rsidP="00CA26C1">
            <w:pPr>
              <w:pStyle w:val="NormalWeb"/>
              <w:jc w:val="center"/>
            </w:pPr>
            <w:r>
              <w:t>1</w:t>
            </w:r>
          </w:p>
        </w:tc>
        <w:tc>
          <w:tcPr>
            <w:tcW w:w="871" w:type="dxa"/>
            <w:hideMark/>
          </w:tcPr>
          <w:p w:rsidR="001234B1" w:rsidRDefault="001234B1" w:rsidP="00CA26C1">
            <w:pPr>
              <w:pStyle w:val="NormalWeb"/>
              <w:jc w:val="center"/>
            </w:pPr>
            <w:r>
              <w:t>1</w:t>
            </w:r>
          </w:p>
        </w:tc>
        <w:tc>
          <w:tcPr>
            <w:tcW w:w="870"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7</w:t>
            </w:r>
          </w:p>
        </w:tc>
        <w:tc>
          <w:tcPr>
            <w:tcW w:w="871" w:type="dxa"/>
            <w:hideMark/>
          </w:tcPr>
          <w:p w:rsidR="001234B1" w:rsidRDefault="001234B1" w:rsidP="00CA26C1">
            <w:pPr>
              <w:pStyle w:val="NormalWeb"/>
              <w:jc w:val="center"/>
            </w:pPr>
            <w:r>
              <w:t>4</w:t>
            </w:r>
          </w:p>
        </w:tc>
        <w:tc>
          <w:tcPr>
            <w:tcW w:w="870" w:type="dxa"/>
            <w:hideMark/>
          </w:tcPr>
          <w:p w:rsidR="001234B1" w:rsidRDefault="001234B1" w:rsidP="00CA26C1">
            <w:pPr>
              <w:pStyle w:val="NormalWeb"/>
              <w:jc w:val="center"/>
            </w:pPr>
            <w:r>
              <w:t>6</w:t>
            </w:r>
          </w:p>
        </w:tc>
        <w:tc>
          <w:tcPr>
            <w:tcW w:w="870" w:type="dxa"/>
            <w:hideMark/>
          </w:tcPr>
          <w:p w:rsidR="001234B1" w:rsidRDefault="001234B1" w:rsidP="00CA26C1">
            <w:pPr>
              <w:pStyle w:val="NormalWeb"/>
              <w:jc w:val="center"/>
            </w:pPr>
            <w:r>
              <w:t>12</w:t>
            </w:r>
          </w:p>
        </w:tc>
        <w:tc>
          <w:tcPr>
            <w:tcW w:w="871" w:type="dxa"/>
            <w:hideMark/>
          </w:tcPr>
          <w:p w:rsidR="001234B1" w:rsidRDefault="001234B1" w:rsidP="00CA26C1">
            <w:pPr>
              <w:pStyle w:val="NormalWeb"/>
              <w:jc w:val="center"/>
            </w:pPr>
            <w:r>
              <w:t>11</w:t>
            </w:r>
          </w:p>
        </w:tc>
        <w:tc>
          <w:tcPr>
            <w:tcW w:w="801" w:type="dxa"/>
            <w:hideMark/>
          </w:tcPr>
          <w:p w:rsidR="001234B1" w:rsidRDefault="001234B1" w:rsidP="00283EC8">
            <w:pPr>
              <w:pStyle w:val="NormalWeb"/>
              <w:jc w:val="center"/>
            </w:pPr>
            <w:r>
              <w:t>44</w:t>
            </w:r>
          </w:p>
        </w:tc>
      </w:tr>
      <w:tr w:rsidR="001234B1" w:rsidTr="00CA26C1">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W</w:t>
            </w:r>
          </w:p>
        </w:tc>
        <w:tc>
          <w:tcPr>
            <w:tcW w:w="870" w:type="dxa"/>
            <w:hideMark/>
          </w:tcPr>
          <w:p w:rsidR="001234B1" w:rsidRDefault="001234B1" w:rsidP="00CA26C1">
            <w:pPr>
              <w:pStyle w:val="NormalWeb"/>
              <w:jc w:val="center"/>
            </w:pPr>
            <w:r>
              <w:t>10</w:t>
            </w:r>
          </w:p>
        </w:tc>
        <w:tc>
          <w:tcPr>
            <w:tcW w:w="870" w:type="dxa"/>
            <w:hideMark/>
          </w:tcPr>
          <w:p w:rsidR="001234B1" w:rsidRDefault="001234B1" w:rsidP="00CA26C1">
            <w:pPr>
              <w:pStyle w:val="NormalWeb"/>
              <w:jc w:val="center"/>
            </w:pPr>
            <w:r>
              <w:t>14</w:t>
            </w:r>
          </w:p>
        </w:tc>
        <w:tc>
          <w:tcPr>
            <w:tcW w:w="871" w:type="dxa"/>
            <w:hideMark/>
          </w:tcPr>
          <w:p w:rsidR="001234B1" w:rsidRDefault="001234B1" w:rsidP="00CA26C1">
            <w:pPr>
              <w:pStyle w:val="NormalWeb"/>
              <w:jc w:val="center"/>
            </w:pPr>
            <w:r>
              <w:t>3</w:t>
            </w:r>
          </w:p>
        </w:tc>
        <w:tc>
          <w:tcPr>
            <w:tcW w:w="870"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6</w:t>
            </w:r>
          </w:p>
        </w:tc>
        <w:tc>
          <w:tcPr>
            <w:tcW w:w="871" w:type="dxa"/>
            <w:hideMark/>
          </w:tcPr>
          <w:p w:rsidR="001234B1" w:rsidRDefault="001234B1" w:rsidP="00CA26C1">
            <w:pPr>
              <w:pStyle w:val="NormalWeb"/>
              <w:jc w:val="center"/>
            </w:pPr>
            <w:r>
              <w:t>6</w:t>
            </w:r>
          </w:p>
        </w:tc>
        <w:tc>
          <w:tcPr>
            <w:tcW w:w="870" w:type="dxa"/>
            <w:hideMark/>
          </w:tcPr>
          <w:p w:rsidR="001234B1" w:rsidRDefault="001234B1" w:rsidP="00CA26C1">
            <w:pPr>
              <w:pStyle w:val="NormalWeb"/>
              <w:jc w:val="center"/>
            </w:pPr>
            <w:r>
              <w:t>20</w:t>
            </w:r>
          </w:p>
        </w:tc>
        <w:tc>
          <w:tcPr>
            <w:tcW w:w="870" w:type="dxa"/>
            <w:hideMark/>
          </w:tcPr>
          <w:p w:rsidR="001234B1" w:rsidRDefault="001234B1" w:rsidP="00CA26C1">
            <w:pPr>
              <w:pStyle w:val="NormalWeb"/>
              <w:jc w:val="center"/>
            </w:pPr>
            <w:r>
              <w:t>25</w:t>
            </w:r>
          </w:p>
        </w:tc>
        <w:tc>
          <w:tcPr>
            <w:tcW w:w="871" w:type="dxa"/>
            <w:hideMark/>
          </w:tcPr>
          <w:p w:rsidR="001234B1" w:rsidRDefault="001234B1" w:rsidP="00CA26C1">
            <w:pPr>
              <w:pStyle w:val="NormalWeb"/>
              <w:jc w:val="center"/>
            </w:pPr>
            <w:r>
              <w:t>17</w:t>
            </w:r>
          </w:p>
        </w:tc>
        <w:tc>
          <w:tcPr>
            <w:tcW w:w="801" w:type="dxa"/>
            <w:hideMark/>
          </w:tcPr>
          <w:p w:rsidR="001234B1" w:rsidRDefault="001234B1" w:rsidP="00283EC8">
            <w:pPr>
              <w:pStyle w:val="NormalWeb"/>
              <w:jc w:val="center"/>
            </w:pPr>
            <w:r>
              <w:t>101</w:t>
            </w:r>
          </w:p>
        </w:tc>
      </w:tr>
      <w:tr w:rsidR="003D502B" w:rsidTr="00CA26C1">
        <w:tc>
          <w:tcPr>
            <w:tcW w:w="0" w:type="auto"/>
            <w:hideMark/>
          </w:tcPr>
          <w:p w:rsidR="001234B1" w:rsidRDefault="001234B1">
            <w:pPr>
              <w:pStyle w:val="NormalWeb"/>
            </w:pPr>
            <w:proofErr w:type="spellStart"/>
            <w:r>
              <w:t>Other</w:t>
            </w:r>
            <w:r w:rsidRPr="00196538">
              <w:rPr>
                <w:vertAlign w:val="superscript"/>
              </w:rPr>
              <w:t>a</w:t>
            </w:r>
            <w:proofErr w:type="spellEnd"/>
          </w:p>
        </w:tc>
        <w:tc>
          <w:tcPr>
            <w:tcW w:w="870"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0</w:t>
            </w:r>
          </w:p>
        </w:tc>
        <w:tc>
          <w:tcPr>
            <w:tcW w:w="871" w:type="dxa"/>
            <w:hideMark/>
          </w:tcPr>
          <w:p w:rsidR="001234B1" w:rsidRDefault="001234B1" w:rsidP="00CA26C1">
            <w:pPr>
              <w:pStyle w:val="NormalWeb"/>
              <w:jc w:val="center"/>
            </w:pPr>
            <w:r>
              <w:t>1</w:t>
            </w:r>
          </w:p>
        </w:tc>
        <w:tc>
          <w:tcPr>
            <w:tcW w:w="870"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1</w:t>
            </w:r>
          </w:p>
        </w:tc>
        <w:tc>
          <w:tcPr>
            <w:tcW w:w="871"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0</w:t>
            </w:r>
          </w:p>
        </w:tc>
        <w:tc>
          <w:tcPr>
            <w:tcW w:w="871" w:type="dxa"/>
            <w:hideMark/>
          </w:tcPr>
          <w:p w:rsidR="001234B1" w:rsidRDefault="001234B1" w:rsidP="00CA26C1">
            <w:pPr>
              <w:pStyle w:val="NormalWeb"/>
              <w:jc w:val="center"/>
            </w:pPr>
            <w:r>
              <w:t>0</w:t>
            </w:r>
          </w:p>
        </w:tc>
        <w:tc>
          <w:tcPr>
            <w:tcW w:w="801" w:type="dxa"/>
            <w:hideMark/>
          </w:tcPr>
          <w:p w:rsidR="001234B1" w:rsidRDefault="001234B1" w:rsidP="00283EC8">
            <w:pPr>
              <w:pStyle w:val="NormalWeb"/>
              <w:jc w:val="center"/>
            </w:pPr>
            <w:r>
              <w:t>2</w:t>
            </w:r>
          </w:p>
        </w:tc>
      </w:tr>
      <w:tr w:rsidR="001234B1" w:rsidTr="00CA26C1">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proofErr w:type="spellStart"/>
            <w:r>
              <w:t>NG</w:t>
            </w:r>
            <w:r w:rsidRPr="00196538">
              <w:rPr>
                <w:vertAlign w:val="superscript"/>
              </w:rPr>
              <w:t>b</w:t>
            </w:r>
            <w:proofErr w:type="spellEnd"/>
          </w:p>
        </w:tc>
        <w:tc>
          <w:tcPr>
            <w:tcW w:w="870"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0</w:t>
            </w:r>
          </w:p>
        </w:tc>
        <w:tc>
          <w:tcPr>
            <w:tcW w:w="871"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0</w:t>
            </w:r>
          </w:p>
        </w:tc>
        <w:tc>
          <w:tcPr>
            <w:tcW w:w="871"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0</w:t>
            </w:r>
          </w:p>
        </w:tc>
        <w:tc>
          <w:tcPr>
            <w:tcW w:w="871" w:type="dxa"/>
            <w:hideMark/>
          </w:tcPr>
          <w:p w:rsidR="001234B1" w:rsidRDefault="001234B1" w:rsidP="00CA26C1">
            <w:pPr>
              <w:pStyle w:val="NormalWeb"/>
              <w:jc w:val="center"/>
            </w:pPr>
            <w:r>
              <w:t>0</w:t>
            </w:r>
          </w:p>
        </w:tc>
        <w:tc>
          <w:tcPr>
            <w:tcW w:w="801" w:type="dxa"/>
            <w:hideMark/>
          </w:tcPr>
          <w:p w:rsidR="001234B1" w:rsidRDefault="001234B1" w:rsidP="00283EC8">
            <w:pPr>
              <w:pStyle w:val="NormalWeb"/>
              <w:jc w:val="center"/>
            </w:pPr>
            <w:r>
              <w:t>0</w:t>
            </w:r>
          </w:p>
        </w:tc>
      </w:tr>
      <w:tr w:rsidR="003D502B" w:rsidTr="00CA26C1">
        <w:tc>
          <w:tcPr>
            <w:tcW w:w="0" w:type="auto"/>
            <w:hideMark/>
          </w:tcPr>
          <w:p w:rsidR="001234B1" w:rsidRDefault="001234B1">
            <w:pPr>
              <w:pStyle w:val="NormalWeb"/>
            </w:pPr>
            <w:proofErr w:type="spellStart"/>
            <w:r>
              <w:t>ND</w:t>
            </w:r>
            <w:r w:rsidRPr="00196538">
              <w:rPr>
                <w:vertAlign w:val="superscript"/>
              </w:rPr>
              <w:t>c</w:t>
            </w:r>
            <w:proofErr w:type="spellEnd"/>
          </w:p>
        </w:tc>
        <w:tc>
          <w:tcPr>
            <w:tcW w:w="870" w:type="dxa"/>
            <w:hideMark/>
          </w:tcPr>
          <w:p w:rsidR="001234B1" w:rsidRDefault="001234B1" w:rsidP="00CA26C1">
            <w:pPr>
              <w:pStyle w:val="NormalWeb"/>
              <w:jc w:val="center"/>
            </w:pPr>
            <w:r>
              <w:t>2</w:t>
            </w:r>
          </w:p>
        </w:tc>
        <w:tc>
          <w:tcPr>
            <w:tcW w:w="870" w:type="dxa"/>
            <w:hideMark/>
          </w:tcPr>
          <w:p w:rsidR="001234B1" w:rsidRDefault="001234B1" w:rsidP="00CA26C1">
            <w:pPr>
              <w:pStyle w:val="NormalWeb"/>
              <w:jc w:val="center"/>
            </w:pPr>
            <w:r>
              <w:t>0</w:t>
            </w:r>
          </w:p>
        </w:tc>
        <w:tc>
          <w:tcPr>
            <w:tcW w:w="871"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0</w:t>
            </w:r>
          </w:p>
        </w:tc>
        <w:tc>
          <w:tcPr>
            <w:tcW w:w="871"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0</w:t>
            </w:r>
          </w:p>
        </w:tc>
        <w:tc>
          <w:tcPr>
            <w:tcW w:w="870" w:type="dxa"/>
            <w:hideMark/>
          </w:tcPr>
          <w:p w:rsidR="001234B1" w:rsidRDefault="001234B1" w:rsidP="00CA26C1">
            <w:pPr>
              <w:pStyle w:val="NormalWeb"/>
              <w:jc w:val="center"/>
            </w:pPr>
            <w:r>
              <w:t>2</w:t>
            </w:r>
          </w:p>
        </w:tc>
        <w:tc>
          <w:tcPr>
            <w:tcW w:w="871" w:type="dxa"/>
            <w:hideMark/>
          </w:tcPr>
          <w:p w:rsidR="001234B1" w:rsidRDefault="001234B1" w:rsidP="00CA26C1">
            <w:pPr>
              <w:pStyle w:val="NormalWeb"/>
              <w:jc w:val="center"/>
            </w:pPr>
            <w:r>
              <w:t>0</w:t>
            </w:r>
          </w:p>
        </w:tc>
        <w:tc>
          <w:tcPr>
            <w:tcW w:w="801" w:type="dxa"/>
            <w:hideMark/>
          </w:tcPr>
          <w:p w:rsidR="001234B1" w:rsidRDefault="001234B1" w:rsidP="00283EC8">
            <w:pPr>
              <w:pStyle w:val="NormalWeb"/>
              <w:jc w:val="center"/>
            </w:pPr>
            <w:r>
              <w:t>4</w:t>
            </w:r>
          </w:p>
        </w:tc>
      </w:tr>
      <w:tr w:rsidR="001234B1" w:rsidRPr="00F40872" w:rsidTr="00F40872">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1234B1" w:rsidRPr="00F40872" w:rsidRDefault="001234B1">
            <w:pPr>
              <w:pStyle w:val="NormalWeb"/>
              <w:rPr>
                <w:b/>
              </w:rPr>
            </w:pPr>
            <w:r w:rsidRPr="00F40872">
              <w:rPr>
                <w:b/>
              </w:rPr>
              <w:t>Total</w:t>
            </w:r>
          </w:p>
        </w:tc>
        <w:tc>
          <w:tcPr>
            <w:tcW w:w="870" w:type="dxa"/>
            <w:shd w:val="clear" w:color="auto" w:fill="FDE9D9" w:themeFill="accent6" w:themeFillTint="33"/>
            <w:hideMark/>
          </w:tcPr>
          <w:p w:rsidR="001234B1" w:rsidRPr="00F40872" w:rsidRDefault="001234B1" w:rsidP="00CA26C1">
            <w:pPr>
              <w:pStyle w:val="NormalWeb"/>
              <w:jc w:val="center"/>
              <w:rPr>
                <w:b/>
              </w:rPr>
            </w:pPr>
            <w:r w:rsidRPr="00F40872">
              <w:rPr>
                <w:b/>
              </w:rPr>
              <w:t>37</w:t>
            </w:r>
          </w:p>
        </w:tc>
        <w:tc>
          <w:tcPr>
            <w:tcW w:w="870" w:type="dxa"/>
            <w:shd w:val="clear" w:color="auto" w:fill="FDE9D9" w:themeFill="accent6" w:themeFillTint="33"/>
            <w:hideMark/>
          </w:tcPr>
          <w:p w:rsidR="001234B1" w:rsidRPr="00F40872" w:rsidRDefault="001234B1" w:rsidP="00CA26C1">
            <w:pPr>
              <w:pStyle w:val="NormalWeb"/>
              <w:jc w:val="center"/>
              <w:rPr>
                <w:b/>
              </w:rPr>
            </w:pPr>
            <w:r w:rsidRPr="00F40872">
              <w:rPr>
                <w:b/>
              </w:rPr>
              <w:t>37</w:t>
            </w:r>
          </w:p>
        </w:tc>
        <w:tc>
          <w:tcPr>
            <w:tcW w:w="871" w:type="dxa"/>
            <w:shd w:val="clear" w:color="auto" w:fill="FDE9D9" w:themeFill="accent6" w:themeFillTint="33"/>
            <w:hideMark/>
          </w:tcPr>
          <w:p w:rsidR="001234B1" w:rsidRPr="00F40872" w:rsidRDefault="001234B1" w:rsidP="00CA26C1">
            <w:pPr>
              <w:pStyle w:val="NormalWeb"/>
              <w:jc w:val="center"/>
              <w:rPr>
                <w:b/>
              </w:rPr>
            </w:pPr>
            <w:r w:rsidRPr="00F40872">
              <w:rPr>
                <w:b/>
              </w:rPr>
              <w:t>10</w:t>
            </w:r>
          </w:p>
        </w:tc>
        <w:tc>
          <w:tcPr>
            <w:tcW w:w="870" w:type="dxa"/>
            <w:shd w:val="clear" w:color="auto" w:fill="FDE9D9" w:themeFill="accent6" w:themeFillTint="33"/>
            <w:hideMark/>
          </w:tcPr>
          <w:p w:rsidR="001234B1" w:rsidRPr="00F40872" w:rsidRDefault="001234B1" w:rsidP="00CA26C1">
            <w:pPr>
              <w:pStyle w:val="NormalWeb"/>
              <w:jc w:val="center"/>
              <w:rPr>
                <w:b/>
              </w:rPr>
            </w:pPr>
            <w:r w:rsidRPr="00F40872">
              <w:rPr>
                <w:b/>
              </w:rPr>
              <w:t>4</w:t>
            </w:r>
          </w:p>
        </w:tc>
        <w:tc>
          <w:tcPr>
            <w:tcW w:w="870" w:type="dxa"/>
            <w:shd w:val="clear" w:color="auto" w:fill="FDE9D9" w:themeFill="accent6" w:themeFillTint="33"/>
            <w:hideMark/>
          </w:tcPr>
          <w:p w:rsidR="001234B1" w:rsidRPr="00F40872" w:rsidRDefault="001234B1" w:rsidP="00CA26C1">
            <w:pPr>
              <w:pStyle w:val="NormalWeb"/>
              <w:jc w:val="center"/>
              <w:rPr>
                <w:b/>
              </w:rPr>
            </w:pPr>
            <w:r w:rsidRPr="00F40872">
              <w:rPr>
                <w:b/>
              </w:rPr>
              <w:t>36</w:t>
            </w:r>
          </w:p>
        </w:tc>
        <w:tc>
          <w:tcPr>
            <w:tcW w:w="871" w:type="dxa"/>
            <w:shd w:val="clear" w:color="auto" w:fill="FDE9D9" w:themeFill="accent6" w:themeFillTint="33"/>
            <w:hideMark/>
          </w:tcPr>
          <w:p w:rsidR="001234B1" w:rsidRPr="00F40872" w:rsidRDefault="001234B1" w:rsidP="00CA26C1">
            <w:pPr>
              <w:pStyle w:val="NormalWeb"/>
              <w:jc w:val="center"/>
              <w:rPr>
                <w:b/>
              </w:rPr>
            </w:pPr>
            <w:r w:rsidRPr="00F40872">
              <w:rPr>
                <w:b/>
              </w:rPr>
              <w:t>22</w:t>
            </w:r>
          </w:p>
        </w:tc>
        <w:tc>
          <w:tcPr>
            <w:tcW w:w="870" w:type="dxa"/>
            <w:shd w:val="clear" w:color="auto" w:fill="FDE9D9" w:themeFill="accent6" w:themeFillTint="33"/>
            <w:hideMark/>
          </w:tcPr>
          <w:p w:rsidR="001234B1" w:rsidRPr="00F40872" w:rsidRDefault="001234B1" w:rsidP="00CA26C1">
            <w:pPr>
              <w:pStyle w:val="NormalWeb"/>
              <w:jc w:val="center"/>
              <w:rPr>
                <w:b/>
              </w:rPr>
            </w:pPr>
            <w:r w:rsidRPr="00F40872">
              <w:rPr>
                <w:b/>
              </w:rPr>
              <w:t>43</w:t>
            </w:r>
          </w:p>
        </w:tc>
        <w:tc>
          <w:tcPr>
            <w:tcW w:w="870" w:type="dxa"/>
            <w:shd w:val="clear" w:color="auto" w:fill="FDE9D9" w:themeFill="accent6" w:themeFillTint="33"/>
            <w:hideMark/>
          </w:tcPr>
          <w:p w:rsidR="001234B1" w:rsidRPr="00F40872" w:rsidRDefault="001234B1" w:rsidP="00CA26C1">
            <w:pPr>
              <w:pStyle w:val="NormalWeb"/>
              <w:jc w:val="center"/>
              <w:rPr>
                <w:b/>
              </w:rPr>
            </w:pPr>
            <w:r w:rsidRPr="00F40872">
              <w:rPr>
                <w:b/>
              </w:rPr>
              <w:t>50</w:t>
            </w:r>
          </w:p>
        </w:tc>
        <w:tc>
          <w:tcPr>
            <w:tcW w:w="871" w:type="dxa"/>
            <w:shd w:val="clear" w:color="auto" w:fill="FDE9D9" w:themeFill="accent6" w:themeFillTint="33"/>
            <w:hideMark/>
          </w:tcPr>
          <w:p w:rsidR="001234B1" w:rsidRPr="00F40872" w:rsidRDefault="001234B1" w:rsidP="00CA26C1">
            <w:pPr>
              <w:pStyle w:val="NormalWeb"/>
              <w:jc w:val="center"/>
              <w:rPr>
                <w:b/>
              </w:rPr>
            </w:pPr>
            <w:r w:rsidRPr="00F40872">
              <w:rPr>
                <w:b/>
              </w:rPr>
              <w:t>39</w:t>
            </w:r>
          </w:p>
        </w:tc>
        <w:tc>
          <w:tcPr>
            <w:tcW w:w="801" w:type="dxa"/>
            <w:shd w:val="clear" w:color="auto" w:fill="FDE9D9" w:themeFill="accent6" w:themeFillTint="33"/>
            <w:hideMark/>
          </w:tcPr>
          <w:p w:rsidR="001234B1" w:rsidRPr="00F40872" w:rsidRDefault="001234B1" w:rsidP="00283EC8">
            <w:pPr>
              <w:pStyle w:val="NormalWeb"/>
              <w:jc w:val="center"/>
              <w:rPr>
                <w:b/>
              </w:rPr>
            </w:pPr>
            <w:r w:rsidRPr="00F40872">
              <w:rPr>
                <w:b/>
              </w:rPr>
              <w:t>278</w:t>
            </w:r>
          </w:p>
        </w:tc>
      </w:tr>
      <w:tr w:rsidR="003D502B" w:rsidTr="00CA26C1">
        <w:tc>
          <w:tcPr>
            <w:tcW w:w="0" w:type="auto"/>
            <w:hideMark/>
          </w:tcPr>
          <w:p w:rsidR="001234B1" w:rsidRDefault="001234B1" w:rsidP="001234B1">
            <w:pPr>
              <w:pStyle w:val="CDIfootnotes"/>
            </w:pPr>
            <w:r>
              <w:t>%B of within age group</w:t>
            </w:r>
          </w:p>
        </w:tc>
        <w:tc>
          <w:tcPr>
            <w:tcW w:w="870" w:type="dxa"/>
            <w:hideMark/>
          </w:tcPr>
          <w:p w:rsidR="001234B1" w:rsidRDefault="001234B1" w:rsidP="00CA26C1">
            <w:pPr>
              <w:pStyle w:val="CDIfootnotes"/>
              <w:jc w:val="center"/>
            </w:pPr>
            <w:r>
              <w:t>62.2</w:t>
            </w:r>
          </w:p>
        </w:tc>
        <w:tc>
          <w:tcPr>
            <w:tcW w:w="870" w:type="dxa"/>
            <w:hideMark/>
          </w:tcPr>
          <w:p w:rsidR="001234B1" w:rsidRDefault="001234B1" w:rsidP="00CA26C1">
            <w:pPr>
              <w:pStyle w:val="CDIfootnotes"/>
              <w:jc w:val="center"/>
            </w:pPr>
            <w:r>
              <w:t>59.5</w:t>
            </w:r>
          </w:p>
        </w:tc>
        <w:tc>
          <w:tcPr>
            <w:tcW w:w="871" w:type="dxa"/>
            <w:hideMark/>
          </w:tcPr>
          <w:p w:rsidR="001234B1" w:rsidRDefault="001234B1" w:rsidP="00CA26C1">
            <w:pPr>
              <w:pStyle w:val="CDIfootnotes"/>
              <w:jc w:val="center"/>
            </w:pPr>
            <w:r>
              <w:t>50.0</w:t>
            </w:r>
          </w:p>
        </w:tc>
        <w:tc>
          <w:tcPr>
            <w:tcW w:w="870" w:type="dxa"/>
            <w:hideMark/>
          </w:tcPr>
          <w:p w:rsidR="001234B1" w:rsidRDefault="001234B1" w:rsidP="00CA26C1">
            <w:pPr>
              <w:pStyle w:val="CDIfootnotes"/>
              <w:jc w:val="center"/>
            </w:pPr>
            <w:r>
              <w:t>100.0</w:t>
            </w:r>
          </w:p>
        </w:tc>
        <w:tc>
          <w:tcPr>
            <w:tcW w:w="870" w:type="dxa"/>
            <w:hideMark/>
          </w:tcPr>
          <w:p w:rsidR="001234B1" w:rsidRDefault="001234B1" w:rsidP="00CA26C1">
            <w:pPr>
              <w:pStyle w:val="CDIfootnotes"/>
              <w:jc w:val="center"/>
            </w:pPr>
            <w:r>
              <w:t>58.3</w:t>
            </w:r>
          </w:p>
        </w:tc>
        <w:tc>
          <w:tcPr>
            <w:tcW w:w="871" w:type="dxa"/>
            <w:hideMark/>
          </w:tcPr>
          <w:p w:rsidR="001234B1" w:rsidRDefault="001234B1" w:rsidP="00CA26C1">
            <w:pPr>
              <w:pStyle w:val="CDIfootnotes"/>
              <w:jc w:val="center"/>
            </w:pPr>
            <w:r>
              <w:t>54.5</w:t>
            </w:r>
          </w:p>
        </w:tc>
        <w:tc>
          <w:tcPr>
            <w:tcW w:w="870" w:type="dxa"/>
            <w:hideMark/>
          </w:tcPr>
          <w:p w:rsidR="001234B1" w:rsidRDefault="001234B1" w:rsidP="00CA26C1">
            <w:pPr>
              <w:pStyle w:val="CDIfootnotes"/>
              <w:jc w:val="center"/>
            </w:pPr>
            <w:r>
              <w:t>34.9</w:t>
            </w:r>
          </w:p>
        </w:tc>
        <w:tc>
          <w:tcPr>
            <w:tcW w:w="870" w:type="dxa"/>
            <w:hideMark/>
          </w:tcPr>
          <w:p w:rsidR="001234B1" w:rsidRDefault="001234B1" w:rsidP="00CA26C1">
            <w:pPr>
              <w:pStyle w:val="CDIfootnotes"/>
              <w:jc w:val="center"/>
            </w:pPr>
            <w:r>
              <w:t>22.0</w:t>
            </w:r>
          </w:p>
        </w:tc>
        <w:tc>
          <w:tcPr>
            <w:tcW w:w="871" w:type="dxa"/>
            <w:hideMark/>
          </w:tcPr>
          <w:p w:rsidR="001234B1" w:rsidRDefault="001234B1" w:rsidP="00CA26C1">
            <w:pPr>
              <w:pStyle w:val="CDIfootnotes"/>
              <w:jc w:val="center"/>
            </w:pPr>
            <w:r>
              <w:t>25.6</w:t>
            </w:r>
          </w:p>
        </w:tc>
        <w:tc>
          <w:tcPr>
            <w:tcW w:w="801" w:type="dxa"/>
            <w:hideMark/>
          </w:tcPr>
          <w:p w:rsidR="001234B1" w:rsidRDefault="001234B1" w:rsidP="00283EC8">
            <w:pPr>
              <w:pStyle w:val="CDIfootnotes"/>
              <w:jc w:val="center"/>
            </w:pPr>
          </w:p>
        </w:tc>
      </w:tr>
    </w:tbl>
    <w:p w:rsidR="001234B1" w:rsidRDefault="001234B1" w:rsidP="001234B1">
      <w:pPr>
        <w:pStyle w:val="CDIfootnotes"/>
        <w:rPr>
          <w:sz w:val="24"/>
          <w:szCs w:val="24"/>
        </w:rPr>
      </w:pPr>
      <w:proofErr w:type="spellStart"/>
      <w:proofErr w:type="gramStart"/>
      <w:r>
        <w:t>a</w:t>
      </w:r>
      <w:proofErr w:type="spellEnd"/>
      <w:proofErr w:type="gramEnd"/>
      <w:r>
        <w:tab/>
        <w:t xml:space="preserve">Other: </w:t>
      </w:r>
      <w:proofErr w:type="spellStart"/>
      <w:r>
        <w:t>serogroup</w:t>
      </w:r>
      <w:proofErr w:type="spellEnd"/>
      <w:r>
        <w:t xml:space="preserve"> E</w:t>
      </w:r>
    </w:p>
    <w:p w:rsidR="001234B1" w:rsidRDefault="001234B1" w:rsidP="001234B1">
      <w:pPr>
        <w:pStyle w:val="CDIfootnotes"/>
      </w:pPr>
      <w:proofErr w:type="gramStart"/>
      <w:r>
        <w:t>b</w:t>
      </w:r>
      <w:proofErr w:type="gramEnd"/>
      <w:r>
        <w:tab/>
        <w:t xml:space="preserve">Non </w:t>
      </w:r>
      <w:proofErr w:type="spellStart"/>
      <w:r>
        <w:t>groupable</w:t>
      </w:r>
      <w:proofErr w:type="spellEnd"/>
    </w:p>
    <w:p w:rsidR="001234B1" w:rsidRDefault="001234B1" w:rsidP="001234B1">
      <w:pPr>
        <w:pStyle w:val="CDIfootnotes"/>
      </w:pPr>
      <w:proofErr w:type="gramStart"/>
      <w:r>
        <w:t>c</w:t>
      </w:r>
      <w:proofErr w:type="gramEnd"/>
      <w:r>
        <w:tab/>
        <w:t>Not determined</w:t>
      </w:r>
    </w:p>
    <w:p w:rsidR="008E10F4" w:rsidRDefault="008E10F4">
      <w:pPr>
        <w:rPr>
          <w:b/>
        </w:rPr>
      </w:pPr>
      <w:r>
        <w:br w:type="page"/>
      </w:r>
    </w:p>
    <w:p w:rsidR="0008463D" w:rsidRDefault="0008463D">
      <w:pPr>
        <w:rPr>
          <w:b/>
        </w:rPr>
        <w:sectPr w:rsidR="0008463D"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rsidR="001234B1" w:rsidRDefault="001234B1" w:rsidP="0008463D">
      <w:pPr>
        <w:pStyle w:val="CDIFigures"/>
      </w:pPr>
      <w:r>
        <w:lastRenderedPageBreak/>
        <w:t xml:space="preserve">Figure 2: Proportion of </w:t>
      </w:r>
      <w:proofErr w:type="spellStart"/>
      <w:r>
        <w:t>serogroups</w:t>
      </w:r>
      <w:proofErr w:type="spellEnd"/>
      <w:r>
        <w:t xml:space="preserve"> of laboratory-confirmed invasive meningococcal disease, Australia, by year</w:t>
      </w:r>
    </w:p>
    <w:p w:rsidR="001234B1" w:rsidRDefault="001234B1">
      <w:pPr>
        <w:rPr>
          <w:rFonts w:eastAsia="Times New Roman"/>
        </w:rPr>
      </w:pPr>
      <w:r>
        <w:rPr>
          <w:rFonts w:eastAsia="Times New Roman"/>
          <w:noProof/>
        </w:rPr>
        <w:drawing>
          <wp:inline distT="0" distB="0" distL="0" distR="0">
            <wp:extent cx="9241540" cy="5743575"/>
            <wp:effectExtent l="0" t="0" r="0" b="0"/>
            <wp:docPr id="2" name="Picture 2" descr="Proportion of serogroups of confirmed invasive meningococcal disease, Australia, 2000-2018, by year&#10;This Figure shows the proportion of total annual invasive meningococcal disease (IMD) cases caused by each of serogroups B, C, W, Y, and not groupable/not determined, each year from 2000-2018,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In 2018, serogroup B became again the predominant sero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portion of serogroups of confirmed invasive meningococcal disease, Australia, 2000-2018, by year&#10;This Figure shows the proportion of total annual invasive meningococcal disease (IMD) cases caused by each of serogroups B, C, W, Y, and not groupable/not determined, each year from 2000-2018,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In 2018, serogroup B became again the predominant serogroup.&#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270502" cy="5761575"/>
                    </a:xfrm>
                    <a:prstGeom prst="rect">
                      <a:avLst/>
                    </a:prstGeom>
                  </pic:spPr>
                </pic:pic>
              </a:graphicData>
            </a:graphic>
          </wp:inline>
        </w:drawing>
      </w:r>
    </w:p>
    <w:p w:rsidR="0008463D" w:rsidRDefault="0008463D" w:rsidP="001234B1">
      <w:pPr>
        <w:sectPr w:rsidR="0008463D" w:rsidSect="0008463D">
          <w:pgSz w:w="16838" w:h="11906" w:orient="landscape"/>
          <w:pgMar w:top="720" w:right="720" w:bottom="720" w:left="1134" w:header="709" w:footer="284" w:gutter="0"/>
          <w:cols w:space="708"/>
          <w:titlePg/>
          <w:docGrid w:linePitch="360"/>
        </w:sectPr>
      </w:pPr>
    </w:p>
    <w:p w:rsidR="00162AB7" w:rsidRDefault="00162AB7" w:rsidP="00162AB7">
      <w:pPr>
        <w:pStyle w:val="CDIFigures"/>
      </w:pPr>
      <w:r>
        <w:lastRenderedPageBreak/>
        <w:t>Table 4: Number of laboratory-confirmed cases of invasive meningococcal disease, Australia, 2018, by anatomical source and method of confirmation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umber of laboratory confirmed cases of invasive meningococcal disease, Australia, 2018 by anatomical source and method of confirmation&#10;Table 4 shows the anatomical source of clinical specimens collected for laboratory confirmed cases of invasive meningococcal disease (IMD) in 2018, and the laboratory testing method used to perform confirmation of diagnosis of IMD."/>
      </w:tblPr>
      <w:tblGrid>
        <w:gridCol w:w="1460"/>
        <w:gridCol w:w="2951"/>
        <w:gridCol w:w="2951"/>
        <w:gridCol w:w="2952"/>
      </w:tblGrid>
      <w:tr w:rsidR="00162AB7" w:rsidRPr="009C2B09" w:rsidTr="003079F3">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162AB7" w:rsidRPr="009C2B09" w:rsidRDefault="00162AB7" w:rsidP="003079F3">
            <w:pPr>
              <w:pStyle w:val="NormalWeb"/>
              <w:rPr>
                <w:color w:val="FFFFFF" w:themeColor="background1"/>
              </w:rPr>
            </w:pPr>
            <w:r w:rsidRPr="009C2B09">
              <w:rPr>
                <w:color w:val="FFFFFF" w:themeColor="background1"/>
              </w:rPr>
              <w:t>Specimen type</w:t>
            </w:r>
          </w:p>
        </w:tc>
        <w:tc>
          <w:tcPr>
            <w:tcW w:w="2951" w:type="dxa"/>
            <w:hideMark/>
          </w:tcPr>
          <w:p w:rsidR="00162AB7" w:rsidRPr="009C2B09" w:rsidRDefault="00162AB7" w:rsidP="003079F3">
            <w:pPr>
              <w:pStyle w:val="NormalWeb"/>
              <w:jc w:val="center"/>
              <w:rPr>
                <w:color w:val="FFFFFF" w:themeColor="background1"/>
              </w:rPr>
            </w:pPr>
            <w:r w:rsidRPr="009C2B09">
              <w:rPr>
                <w:color w:val="FFFFFF" w:themeColor="background1"/>
              </w:rPr>
              <w:t xml:space="preserve">Isolate of </w:t>
            </w:r>
            <w:proofErr w:type="spellStart"/>
            <w:r w:rsidRPr="009C2B09">
              <w:rPr>
                <w:color w:val="FFFFFF" w:themeColor="background1"/>
              </w:rPr>
              <w:t>MC</w:t>
            </w:r>
            <w:r w:rsidRPr="000C63E0">
              <w:rPr>
                <w:color w:val="FFFFFF" w:themeColor="background1"/>
                <w:vertAlign w:val="superscript"/>
              </w:rPr>
              <w:t>a</w:t>
            </w:r>
            <w:proofErr w:type="spellEnd"/>
          </w:p>
        </w:tc>
        <w:tc>
          <w:tcPr>
            <w:tcW w:w="2951" w:type="dxa"/>
            <w:hideMark/>
          </w:tcPr>
          <w:p w:rsidR="00162AB7" w:rsidRPr="009C2B09" w:rsidRDefault="00162AB7" w:rsidP="003079F3">
            <w:pPr>
              <w:pStyle w:val="NormalWeb"/>
              <w:jc w:val="center"/>
              <w:rPr>
                <w:color w:val="FFFFFF" w:themeColor="background1"/>
              </w:rPr>
            </w:pPr>
            <w:r w:rsidRPr="009C2B09">
              <w:rPr>
                <w:color w:val="FFFFFF" w:themeColor="background1"/>
              </w:rPr>
              <w:t xml:space="preserve">PCR </w:t>
            </w:r>
            <w:proofErr w:type="spellStart"/>
            <w:r w:rsidRPr="009C2B09">
              <w:rPr>
                <w:color w:val="FFFFFF" w:themeColor="background1"/>
              </w:rPr>
              <w:t>positive</w:t>
            </w:r>
            <w:r w:rsidRPr="000C63E0">
              <w:rPr>
                <w:color w:val="FFFFFF" w:themeColor="background1"/>
                <w:vertAlign w:val="superscript"/>
              </w:rPr>
              <w:t>b</w:t>
            </w:r>
            <w:proofErr w:type="spellEnd"/>
          </w:p>
        </w:tc>
        <w:tc>
          <w:tcPr>
            <w:tcW w:w="2952" w:type="dxa"/>
            <w:hideMark/>
          </w:tcPr>
          <w:p w:rsidR="00162AB7" w:rsidRPr="009C2B09" w:rsidRDefault="00162AB7" w:rsidP="003079F3">
            <w:pPr>
              <w:pStyle w:val="NormalWeb"/>
              <w:jc w:val="center"/>
              <w:rPr>
                <w:color w:val="FFFFFF" w:themeColor="background1"/>
              </w:rPr>
            </w:pPr>
            <w:r w:rsidRPr="009C2B09">
              <w:rPr>
                <w:color w:val="FFFFFF" w:themeColor="background1"/>
              </w:rPr>
              <w:t>Total</w:t>
            </w:r>
          </w:p>
        </w:tc>
      </w:tr>
      <w:tr w:rsidR="00162AB7" w:rsidTr="003079F3">
        <w:tc>
          <w:tcPr>
            <w:tcW w:w="0" w:type="auto"/>
            <w:hideMark/>
          </w:tcPr>
          <w:p w:rsidR="00162AB7" w:rsidRDefault="00162AB7" w:rsidP="003079F3">
            <w:pPr>
              <w:pStyle w:val="NormalWeb"/>
            </w:pPr>
            <w:r>
              <w:t>Blood</w:t>
            </w:r>
          </w:p>
        </w:tc>
        <w:tc>
          <w:tcPr>
            <w:tcW w:w="2951" w:type="dxa"/>
            <w:hideMark/>
          </w:tcPr>
          <w:p w:rsidR="00162AB7" w:rsidRDefault="00162AB7" w:rsidP="003079F3">
            <w:pPr>
              <w:pStyle w:val="NormalWeb"/>
              <w:jc w:val="center"/>
            </w:pPr>
            <w:r>
              <w:t>188</w:t>
            </w:r>
          </w:p>
        </w:tc>
        <w:tc>
          <w:tcPr>
            <w:tcW w:w="2951" w:type="dxa"/>
            <w:hideMark/>
          </w:tcPr>
          <w:p w:rsidR="00162AB7" w:rsidRDefault="00162AB7" w:rsidP="003079F3">
            <w:pPr>
              <w:pStyle w:val="NormalWeb"/>
              <w:jc w:val="center"/>
            </w:pPr>
            <w:r>
              <w:t>33</w:t>
            </w:r>
          </w:p>
        </w:tc>
        <w:tc>
          <w:tcPr>
            <w:tcW w:w="2952" w:type="dxa"/>
            <w:hideMark/>
          </w:tcPr>
          <w:p w:rsidR="00162AB7" w:rsidRDefault="00162AB7" w:rsidP="003079F3">
            <w:pPr>
              <w:pStyle w:val="NormalWeb"/>
              <w:jc w:val="center"/>
            </w:pPr>
            <w:r>
              <w:t>221</w:t>
            </w:r>
          </w:p>
        </w:tc>
      </w:tr>
      <w:tr w:rsidR="00162AB7" w:rsidTr="003079F3">
        <w:trPr>
          <w:cnfStyle w:val="000000010000" w:firstRow="0" w:lastRow="0" w:firstColumn="0" w:lastColumn="0" w:oddVBand="0" w:evenVBand="0" w:oddHBand="0" w:evenHBand="1" w:firstRowFirstColumn="0" w:firstRowLastColumn="0" w:lastRowFirstColumn="0" w:lastRowLastColumn="0"/>
        </w:trPr>
        <w:tc>
          <w:tcPr>
            <w:tcW w:w="0" w:type="auto"/>
            <w:hideMark/>
          </w:tcPr>
          <w:p w:rsidR="00162AB7" w:rsidRDefault="00162AB7" w:rsidP="003079F3">
            <w:pPr>
              <w:pStyle w:val="NormalWeb"/>
            </w:pPr>
            <w:r>
              <w:t>CSF +/- blood</w:t>
            </w:r>
          </w:p>
        </w:tc>
        <w:tc>
          <w:tcPr>
            <w:tcW w:w="2951" w:type="dxa"/>
            <w:hideMark/>
          </w:tcPr>
          <w:p w:rsidR="00162AB7" w:rsidRDefault="00162AB7" w:rsidP="003079F3">
            <w:pPr>
              <w:pStyle w:val="NormalWeb"/>
              <w:jc w:val="center"/>
            </w:pPr>
            <w:r>
              <w:t>23</w:t>
            </w:r>
          </w:p>
        </w:tc>
        <w:tc>
          <w:tcPr>
            <w:tcW w:w="2951" w:type="dxa"/>
            <w:hideMark/>
          </w:tcPr>
          <w:p w:rsidR="00162AB7" w:rsidRDefault="00162AB7" w:rsidP="003079F3">
            <w:pPr>
              <w:pStyle w:val="NormalWeb"/>
              <w:jc w:val="center"/>
            </w:pPr>
            <w:r>
              <w:t>28</w:t>
            </w:r>
          </w:p>
        </w:tc>
        <w:tc>
          <w:tcPr>
            <w:tcW w:w="2952" w:type="dxa"/>
            <w:hideMark/>
          </w:tcPr>
          <w:p w:rsidR="00162AB7" w:rsidRDefault="00162AB7" w:rsidP="003079F3">
            <w:pPr>
              <w:pStyle w:val="NormalWeb"/>
              <w:jc w:val="center"/>
            </w:pPr>
            <w:r>
              <w:t>51</w:t>
            </w:r>
          </w:p>
        </w:tc>
      </w:tr>
      <w:tr w:rsidR="00162AB7" w:rsidTr="003079F3">
        <w:tc>
          <w:tcPr>
            <w:tcW w:w="0" w:type="auto"/>
            <w:hideMark/>
          </w:tcPr>
          <w:p w:rsidR="00162AB7" w:rsidRDefault="00162AB7" w:rsidP="003079F3">
            <w:pPr>
              <w:pStyle w:val="NormalWeb"/>
            </w:pPr>
            <w:r>
              <w:t>Other</w:t>
            </w:r>
          </w:p>
        </w:tc>
        <w:tc>
          <w:tcPr>
            <w:tcW w:w="2951" w:type="dxa"/>
            <w:hideMark/>
          </w:tcPr>
          <w:p w:rsidR="00162AB7" w:rsidRDefault="00162AB7" w:rsidP="003079F3">
            <w:pPr>
              <w:pStyle w:val="NormalWeb"/>
              <w:jc w:val="center"/>
            </w:pPr>
            <w:r>
              <w:t>5</w:t>
            </w:r>
          </w:p>
        </w:tc>
        <w:tc>
          <w:tcPr>
            <w:tcW w:w="2951" w:type="dxa"/>
            <w:hideMark/>
          </w:tcPr>
          <w:p w:rsidR="00162AB7" w:rsidRDefault="00162AB7" w:rsidP="003079F3">
            <w:pPr>
              <w:pStyle w:val="NormalWeb"/>
              <w:jc w:val="center"/>
            </w:pPr>
            <w:r>
              <w:t>1</w:t>
            </w:r>
          </w:p>
        </w:tc>
        <w:tc>
          <w:tcPr>
            <w:tcW w:w="2952" w:type="dxa"/>
            <w:hideMark/>
          </w:tcPr>
          <w:p w:rsidR="00162AB7" w:rsidRDefault="00162AB7" w:rsidP="003079F3">
            <w:pPr>
              <w:pStyle w:val="NormalWeb"/>
              <w:jc w:val="center"/>
            </w:pPr>
            <w:r>
              <w:t>6</w:t>
            </w:r>
          </w:p>
        </w:tc>
      </w:tr>
      <w:tr w:rsidR="00162AB7" w:rsidRPr="0042679E" w:rsidTr="003079F3">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162AB7" w:rsidRPr="0042679E" w:rsidRDefault="00162AB7" w:rsidP="003079F3">
            <w:pPr>
              <w:pStyle w:val="NormalWeb"/>
              <w:rPr>
                <w:b/>
              </w:rPr>
            </w:pPr>
            <w:r w:rsidRPr="0042679E">
              <w:rPr>
                <w:b/>
              </w:rPr>
              <w:t>Total</w:t>
            </w:r>
          </w:p>
        </w:tc>
        <w:tc>
          <w:tcPr>
            <w:tcW w:w="2951" w:type="dxa"/>
            <w:shd w:val="clear" w:color="auto" w:fill="FDE9D9" w:themeFill="accent6" w:themeFillTint="33"/>
            <w:hideMark/>
          </w:tcPr>
          <w:p w:rsidR="00162AB7" w:rsidRPr="0042679E" w:rsidRDefault="00162AB7" w:rsidP="003079F3">
            <w:pPr>
              <w:pStyle w:val="NormalWeb"/>
              <w:jc w:val="center"/>
              <w:rPr>
                <w:b/>
              </w:rPr>
            </w:pPr>
            <w:r w:rsidRPr="0042679E">
              <w:rPr>
                <w:b/>
              </w:rPr>
              <w:t>216</w:t>
            </w:r>
          </w:p>
        </w:tc>
        <w:tc>
          <w:tcPr>
            <w:tcW w:w="2951" w:type="dxa"/>
            <w:shd w:val="clear" w:color="auto" w:fill="FDE9D9" w:themeFill="accent6" w:themeFillTint="33"/>
            <w:hideMark/>
          </w:tcPr>
          <w:p w:rsidR="00162AB7" w:rsidRPr="0042679E" w:rsidRDefault="00162AB7" w:rsidP="003079F3">
            <w:pPr>
              <w:pStyle w:val="NormalWeb"/>
              <w:jc w:val="center"/>
              <w:rPr>
                <w:b/>
              </w:rPr>
            </w:pPr>
            <w:r w:rsidRPr="0042679E">
              <w:rPr>
                <w:b/>
              </w:rPr>
              <w:t>62</w:t>
            </w:r>
          </w:p>
        </w:tc>
        <w:tc>
          <w:tcPr>
            <w:tcW w:w="2952" w:type="dxa"/>
            <w:shd w:val="clear" w:color="auto" w:fill="FDE9D9" w:themeFill="accent6" w:themeFillTint="33"/>
            <w:hideMark/>
          </w:tcPr>
          <w:p w:rsidR="00162AB7" w:rsidRPr="0042679E" w:rsidRDefault="00162AB7" w:rsidP="003079F3">
            <w:pPr>
              <w:pStyle w:val="NormalWeb"/>
              <w:jc w:val="center"/>
              <w:rPr>
                <w:b/>
              </w:rPr>
            </w:pPr>
            <w:r w:rsidRPr="0042679E">
              <w:rPr>
                <w:b/>
              </w:rPr>
              <w:t>278</w:t>
            </w:r>
          </w:p>
        </w:tc>
      </w:tr>
    </w:tbl>
    <w:p w:rsidR="00162AB7" w:rsidRDefault="00162AB7" w:rsidP="00162AB7">
      <w:pPr>
        <w:pStyle w:val="CDIfootnotes"/>
      </w:pPr>
      <w:proofErr w:type="gramStart"/>
      <w:r>
        <w:t>a</w:t>
      </w:r>
      <w:proofErr w:type="gramEnd"/>
      <w:r>
        <w:t xml:space="preserve"> </w:t>
      </w:r>
      <w:r>
        <w:tab/>
        <w:t xml:space="preserve">MC: </w:t>
      </w:r>
      <w:proofErr w:type="spellStart"/>
      <w:r>
        <w:t>meningococci</w:t>
      </w:r>
      <w:proofErr w:type="spellEnd"/>
    </w:p>
    <w:p w:rsidR="00162AB7" w:rsidRDefault="00162AB7" w:rsidP="00162AB7">
      <w:pPr>
        <w:pStyle w:val="CDIfootnotes"/>
      </w:pPr>
      <w:proofErr w:type="gramStart"/>
      <w:r>
        <w:t>b</w:t>
      </w:r>
      <w:proofErr w:type="gramEnd"/>
      <w:r>
        <w:tab/>
        <w:t>PCR: polymerase chain reaction</w:t>
      </w:r>
    </w:p>
    <w:p w:rsidR="001234B1" w:rsidRDefault="001234B1" w:rsidP="001234B1">
      <w:r>
        <w:t xml:space="preserve">The number of IMD cases caused by </w:t>
      </w:r>
      <w:proofErr w:type="spellStart"/>
      <w:r>
        <w:t>serogroup</w:t>
      </w:r>
      <w:proofErr w:type="spellEnd"/>
      <w:r>
        <w:t xml:space="preserve"> C (4 cases) in 2018 was less than the number reported the previous year, and was similar to national case numbers for the period 2014–2016. New South Wales reported 2 cases, and Queensland and Victoria each reported one case. </w:t>
      </w:r>
    </w:p>
    <w:p w:rsidR="001234B1" w:rsidRDefault="001234B1" w:rsidP="001234B1">
      <w:r>
        <w:t xml:space="preserve">Since 2014, the rise in the total number of IMD cases has been due to a rise in the number of cases of IMD caused by </w:t>
      </w:r>
      <w:proofErr w:type="spellStart"/>
      <w:r>
        <w:t>serogroups</w:t>
      </w:r>
      <w:proofErr w:type="spellEnd"/>
      <w:r>
        <w:t xml:space="preserve"> W and Y (Figures 1 and 2). The number of cases of IMD caused by </w:t>
      </w:r>
      <w:proofErr w:type="spellStart"/>
      <w:r>
        <w:t>serogroup</w:t>
      </w:r>
      <w:proofErr w:type="spellEnd"/>
      <w:r>
        <w:t xml:space="preserve"> W in 2018 (101 cases) was the third highest reported by the AMSP (141 cases in 2017, 107 cases in 2016). The 2018 </w:t>
      </w:r>
      <w:proofErr w:type="spellStart"/>
      <w:r>
        <w:t>serogroup</w:t>
      </w:r>
      <w:proofErr w:type="spellEnd"/>
      <w:r>
        <w:t xml:space="preserve"> W case number was almost triple the number of cases reported in 2015 (36 cases) and a tenfold increase in the average annual number of reported IMD cases caused by </w:t>
      </w:r>
      <w:proofErr w:type="spellStart"/>
      <w:r>
        <w:t>serogroup</w:t>
      </w:r>
      <w:proofErr w:type="spellEnd"/>
      <w:r>
        <w:t xml:space="preserve"> W before 2015. Prior to 2015, the proportion of cases of IMD caused by </w:t>
      </w:r>
      <w:proofErr w:type="spellStart"/>
      <w:r>
        <w:t>serogroup</w:t>
      </w:r>
      <w:proofErr w:type="spellEnd"/>
      <w:r>
        <w:t xml:space="preserve"> W ranged from 1.1 to 4.8% in the period 1997–2012 and from 8.4 to 9.7% in 2013–2014. In 2015 it was 21%, in 2016 it was 44%, in 2017 it was 38%, and in 2018 it was 36.3% of the total cases of IMD for each corresponding year (Figure 2). </w:t>
      </w:r>
    </w:p>
    <w:p w:rsidR="001234B1" w:rsidRDefault="001234B1" w:rsidP="001234B1">
      <w:r>
        <w:t xml:space="preserve">A similar pattern and trend was seen in the number and proportion of cases of IMD caused by </w:t>
      </w:r>
      <w:proofErr w:type="spellStart"/>
      <w:r>
        <w:t>serogroup</w:t>
      </w:r>
      <w:proofErr w:type="spellEnd"/>
      <w:r>
        <w:t xml:space="preserve"> Y in 2018 (n = 44, 15.8% of total IMD), which was the second highest reported by the AMSP (the highest being the previous year with 75 cases, 20% of total IMD), and triple the average number of annual </w:t>
      </w:r>
      <w:proofErr w:type="spellStart"/>
      <w:r>
        <w:t>serogroup</w:t>
      </w:r>
      <w:proofErr w:type="spellEnd"/>
      <w:r>
        <w:t xml:space="preserve"> Y cases reported before 2015. Prior to 2015, the proportion of cases of IMD caused by </w:t>
      </w:r>
      <w:proofErr w:type="spellStart"/>
      <w:r>
        <w:t>serogroup</w:t>
      </w:r>
      <w:proofErr w:type="spellEnd"/>
      <w:r>
        <w:t xml:space="preserve"> Y ranged from 1.3 to 4.6% in the period 1997–2010 and from 6.2 to 10.5% in 2011–2014. In 2015 the proportion rose to 12.6%, rose again in 2016 to 16.5%, and again in 2017 to 20% of the total cases of IMD for each corresponding year (Figure 2). </w:t>
      </w:r>
    </w:p>
    <w:p w:rsidR="001234B1" w:rsidRDefault="001234B1" w:rsidP="001234B1">
      <w:r>
        <w:t xml:space="preserve">Of the 101 laboratory-confirmed cases of IMD caused by </w:t>
      </w:r>
      <w:proofErr w:type="spellStart"/>
      <w:r>
        <w:t>serogroup</w:t>
      </w:r>
      <w:proofErr w:type="spellEnd"/>
      <w:r>
        <w:t xml:space="preserve"> W in 2018, Western Australia reported the largest number of cases (n = 30), where </w:t>
      </w:r>
      <w:proofErr w:type="spellStart"/>
      <w:r>
        <w:t>serogroup</w:t>
      </w:r>
      <w:proofErr w:type="spellEnd"/>
      <w:r>
        <w:t xml:space="preserve"> W represented 75% (30/40) of cases, followed by New South Wales and Victoria (n = 19 each), where </w:t>
      </w:r>
      <w:proofErr w:type="spellStart"/>
      <w:r>
        <w:t>serogroup</w:t>
      </w:r>
      <w:proofErr w:type="spellEnd"/>
      <w:r>
        <w:t xml:space="preserve"> W represented 27.1% and 37.3% of cases respectively. The number of </w:t>
      </w:r>
      <w:proofErr w:type="spellStart"/>
      <w:r>
        <w:t>serogroup</w:t>
      </w:r>
      <w:proofErr w:type="spellEnd"/>
      <w:r>
        <w:t xml:space="preserve"> W IMD cases in Western Australia in 2018 was the highest number yet reported from that jurisdiction. Of the 11 IMD cases from the Northern Territory, all were from remote central Australia, and </w:t>
      </w:r>
      <w:proofErr w:type="spellStart"/>
      <w:r>
        <w:t>serogroup</w:t>
      </w:r>
      <w:proofErr w:type="spellEnd"/>
      <w:r>
        <w:t xml:space="preserve"> W comprised 8 (72.7%) of these cases. For the first time, </w:t>
      </w:r>
      <w:proofErr w:type="spellStart"/>
      <w:r>
        <w:t>serogroup</w:t>
      </w:r>
      <w:proofErr w:type="spellEnd"/>
      <w:r>
        <w:t xml:space="preserve"> W was reported in all jurisdictions (Table 2). </w:t>
      </w:r>
    </w:p>
    <w:p w:rsidR="001234B1" w:rsidRDefault="001234B1" w:rsidP="001234B1">
      <w:r>
        <w:t xml:space="preserve">Of the 44 cases of IMD caused by </w:t>
      </w:r>
      <w:proofErr w:type="spellStart"/>
      <w:r>
        <w:t>serogroup</w:t>
      </w:r>
      <w:proofErr w:type="spellEnd"/>
      <w:r>
        <w:t xml:space="preserve"> Y in 2018, New South Wales reported the largest number of cases (n = 15), where this </w:t>
      </w:r>
      <w:proofErr w:type="spellStart"/>
      <w:r>
        <w:t>serogroup</w:t>
      </w:r>
      <w:proofErr w:type="spellEnd"/>
      <w:r>
        <w:t xml:space="preserve"> represented 21.4% (15/70 cases) of IMD cases reported in this jurisdiction. </w:t>
      </w:r>
      <w:proofErr w:type="spellStart"/>
      <w:r>
        <w:t>Serogroup</w:t>
      </w:r>
      <w:proofErr w:type="spellEnd"/>
      <w:r>
        <w:t xml:space="preserve"> Y was reported in all jurisdictions, except the Australian Capital Territory and the Northern Territory (Table 2). </w:t>
      </w:r>
    </w:p>
    <w:p w:rsidR="001234B1" w:rsidRDefault="001234B1" w:rsidP="001234B1">
      <w:r>
        <w:t xml:space="preserve">In 2018, there were two cases of IMD caused by </w:t>
      </w:r>
      <w:proofErr w:type="spellStart"/>
      <w:r>
        <w:t>serogroup</w:t>
      </w:r>
      <w:proofErr w:type="spellEnd"/>
      <w:r>
        <w:t xml:space="preserve"> E. This was the first time this </w:t>
      </w:r>
      <w:proofErr w:type="spellStart"/>
      <w:r>
        <w:t>serogroup</w:t>
      </w:r>
      <w:proofErr w:type="spellEnd"/>
      <w:r>
        <w:t xml:space="preserve"> was detected in Australia since 2007, and once prior in 1997.</w:t>
      </w:r>
      <w:r>
        <w:rPr>
          <w:vertAlign w:val="superscript"/>
        </w:rPr>
        <w:t>4</w:t>
      </w:r>
      <w:r>
        <w:t xml:space="preserve"> </w:t>
      </w:r>
      <w:proofErr w:type="gramStart"/>
      <w:r>
        <w:t>Both</w:t>
      </w:r>
      <w:proofErr w:type="gramEnd"/>
      <w:r>
        <w:t xml:space="preserve"> cases were from Queensland: one case was diagnosed by NAAT from blood in a 17 year old female. In the other case, the organism was isolated from blood culture in a 5 year old female. Both cases exhibited the same genotype: P1.21-7</w:t>
      </w:r>
      <w:proofErr w:type="gramStart"/>
      <w:r>
        <w:t>,16</w:t>
      </w:r>
      <w:proofErr w:type="gramEnd"/>
      <w:r>
        <w:t xml:space="preserve">. </w:t>
      </w:r>
    </w:p>
    <w:p w:rsidR="009C1DA8" w:rsidRDefault="009C1DA8" w:rsidP="009C1DA8">
      <w:pPr>
        <w:pStyle w:val="CDIFigures"/>
        <w:sectPr w:rsidR="009C1DA8" w:rsidSect="00A30C37">
          <w:pgSz w:w="11906" w:h="16838"/>
          <w:pgMar w:top="720" w:right="720" w:bottom="1134" w:left="720" w:header="709" w:footer="284" w:gutter="0"/>
          <w:cols w:space="708"/>
          <w:titlePg/>
          <w:docGrid w:linePitch="360"/>
        </w:sectPr>
      </w:pPr>
    </w:p>
    <w:p w:rsidR="001234B1" w:rsidRDefault="001234B1" w:rsidP="009C1DA8">
      <w:pPr>
        <w:pStyle w:val="CDIFigures"/>
      </w:pPr>
      <w:r>
        <w:lastRenderedPageBreak/>
        <w:t xml:space="preserve">Figure 3: Number of </w:t>
      </w:r>
      <w:proofErr w:type="spellStart"/>
      <w:r>
        <w:t>serogroups</w:t>
      </w:r>
      <w:proofErr w:type="spellEnd"/>
      <w:r>
        <w:t xml:space="preserve"> B, Y and W cases of laboratory-confirmed invasive meningococcal disease, Australia, 2018, by age</w:t>
      </w:r>
    </w:p>
    <w:p w:rsidR="001234B1" w:rsidRDefault="001234B1">
      <w:pPr>
        <w:rPr>
          <w:rFonts w:eastAsia="Times New Roman"/>
        </w:rPr>
      </w:pPr>
      <w:r>
        <w:rPr>
          <w:rFonts w:eastAsia="Times New Roman"/>
          <w:noProof/>
        </w:rPr>
        <w:drawing>
          <wp:inline distT="0" distB="0" distL="0" distR="0">
            <wp:extent cx="8506985" cy="5632715"/>
            <wp:effectExtent l="0" t="0" r="8890" b="6350"/>
            <wp:docPr id="3" name="Picture 3" descr="This Figure shows the number of laboratory confirmed invasive meningococcal disease (IMD) cases that were serogroup B, Y or W, in 2018 by age group. The figure shows that serogroup W is predominant in those aged 45 years and over, serogroup B is predominant in those aged 15-19 years, and roughly equal cases numbers of serogroup B and W in other age groups. The graph also shows that, in 2018, serogroup W and serogroup Y disease was seen in all age categories, where previously, it was rarely seen in age categories other than 45 years of age or mo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Figure shows the number of laboratory confirmed invasive meningococcal disease (IMD) cases that were serogroup B, Y or W, in 2018 by age group. The figure shows that serogroup W is predominant in those aged 45 years and over, serogroup B is predominant in those aged 15-19 years, and roughly equal cases numbers of serogroup B and W in other age groups. The graph also shows that, in 2018, serogroup W and serogroup Y disease was seen in all age categories, where previously, it was rarely seen in age categories other than 45 years of age or more.&#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506985" cy="5632715"/>
                    </a:xfrm>
                    <a:prstGeom prst="rect">
                      <a:avLst/>
                    </a:prstGeom>
                  </pic:spPr>
                </pic:pic>
              </a:graphicData>
            </a:graphic>
          </wp:inline>
        </w:drawing>
      </w:r>
    </w:p>
    <w:p w:rsidR="009C1DA8" w:rsidRDefault="009C1DA8" w:rsidP="001234B1">
      <w:pPr>
        <w:sectPr w:rsidR="009C1DA8" w:rsidSect="00B2753A">
          <w:pgSz w:w="16838" w:h="11906" w:orient="landscape"/>
          <w:pgMar w:top="720" w:right="720" w:bottom="720" w:left="1134" w:header="709" w:footer="284" w:gutter="0"/>
          <w:cols w:space="708"/>
          <w:titlePg/>
          <w:docGrid w:linePitch="360"/>
        </w:sectPr>
      </w:pPr>
    </w:p>
    <w:p w:rsidR="00162AB7" w:rsidRDefault="00162AB7" w:rsidP="00162AB7">
      <w:r>
        <w:lastRenderedPageBreak/>
        <w:t xml:space="preserve">In 2018, IMD caused by </w:t>
      </w:r>
      <w:proofErr w:type="spellStart"/>
      <w:r>
        <w:t>serogroup</w:t>
      </w:r>
      <w:proofErr w:type="spellEnd"/>
      <w:r>
        <w:t xml:space="preserve"> B was the predominant </w:t>
      </w:r>
      <w:proofErr w:type="spellStart"/>
      <w:r>
        <w:t>serogroup</w:t>
      </w:r>
      <w:proofErr w:type="spellEnd"/>
      <w:r>
        <w:t xml:space="preserve"> in all age groups except those aged 25 to 44 years, 45 to 64 years, and 65 years or older. This distribution was similar to patterns seen before 2016 (Table 3, Figure 3). </w:t>
      </w:r>
    </w:p>
    <w:p w:rsidR="001234B1" w:rsidRDefault="001234B1" w:rsidP="001234B1">
      <w:r>
        <w:t xml:space="preserve">IMD caused by </w:t>
      </w:r>
      <w:proofErr w:type="spellStart"/>
      <w:r>
        <w:t>serogroup</w:t>
      </w:r>
      <w:proofErr w:type="spellEnd"/>
      <w:r>
        <w:t xml:space="preserve"> W was seen in all age groups in 2018, except those aged from 10 to 14 years. This age group has historically shown low numbers of total IMD cases, and in 2018, only 4 cases, all </w:t>
      </w:r>
      <w:proofErr w:type="spellStart"/>
      <w:r>
        <w:t>serogroup</w:t>
      </w:r>
      <w:proofErr w:type="spellEnd"/>
      <w:r>
        <w:t xml:space="preserve"> B, from a total of 278 cases of IMD were in this age group. For those aged less than 5 years, the number and proportion of IMD cases caused by </w:t>
      </w:r>
      <w:proofErr w:type="spellStart"/>
      <w:r>
        <w:t>serogroup</w:t>
      </w:r>
      <w:proofErr w:type="spellEnd"/>
      <w:r>
        <w:t xml:space="preserve"> W (24 cases, 32.4%) was lower than 2017, which was the highest recorded for this age group. For those aged 25 to 44 years, 45 to 64 years, and those aged 65 or more, IMD caused by </w:t>
      </w:r>
      <w:proofErr w:type="spellStart"/>
      <w:r>
        <w:t>serogroup</w:t>
      </w:r>
      <w:proofErr w:type="spellEnd"/>
      <w:r>
        <w:t xml:space="preserve"> W was the predominant </w:t>
      </w:r>
      <w:proofErr w:type="spellStart"/>
      <w:r>
        <w:t>serogroup</w:t>
      </w:r>
      <w:proofErr w:type="spellEnd"/>
      <w:r>
        <w:t xml:space="preserve"> (20/43 cases or 47%; 25/50 cases or 50%; and 17/39 cases or 44% respectively) (Table 3, Figure 3). </w:t>
      </w:r>
    </w:p>
    <w:p w:rsidR="001234B1" w:rsidRDefault="001234B1" w:rsidP="001234B1">
      <w:proofErr w:type="spellStart"/>
      <w:r>
        <w:t>Serogroup</w:t>
      </w:r>
      <w:proofErr w:type="spellEnd"/>
      <w:r>
        <w:t xml:space="preserve"> Y IMD was also seen in all age groups in 2018, except those aged between 10 to 14 years, with the highest number and proportion seen in those aged 45 or more years (23 cases, 26% of total IMD for this age group), as in previous years (Table 3, Figure 3).</w:t>
      </w:r>
    </w:p>
    <w:p w:rsidR="001234B1" w:rsidRDefault="001234B1">
      <w:pPr>
        <w:pStyle w:val="Heading2"/>
        <w:rPr>
          <w:rFonts w:eastAsia="Times New Roman"/>
        </w:rPr>
      </w:pPr>
      <w:r>
        <w:rPr>
          <w:rFonts w:eastAsia="Times New Roman"/>
        </w:rPr>
        <w:t xml:space="preserve">Genotyping </w:t>
      </w:r>
    </w:p>
    <w:p w:rsidR="00582E42" w:rsidRDefault="001234B1" w:rsidP="00582E42">
      <w:pPr>
        <w:sectPr w:rsidR="00582E42" w:rsidSect="00A30C37">
          <w:pgSz w:w="11906" w:h="16838"/>
          <w:pgMar w:top="720" w:right="720" w:bottom="1134" w:left="720" w:header="709" w:footer="284" w:gutter="0"/>
          <w:cols w:space="708"/>
          <w:titlePg/>
          <w:docGrid w:linePitch="360"/>
        </w:sectPr>
      </w:pPr>
      <w:r>
        <w:t xml:space="preserve">In 2018, genotyping was performed on 66% (181/278) of IMD cases. Results are shown in Tables 5 and 6. There were 70 </w:t>
      </w:r>
      <w:proofErr w:type="spellStart"/>
      <w:r>
        <w:t>serogroup</w:t>
      </w:r>
      <w:proofErr w:type="spellEnd"/>
      <w:r>
        <w:t xml:space="preserve"> B cases typed, for which the predominant </w:t>
      </w:r>
      <w:proofErr w:type="spellStart"/>
      <w:r w:rsidRPr="004C6AE3">
        <w:rPr>
          <w:rStyle w:val="Emphasis"/>
          <w:b w:val="0"/>
        </w:rPr>
        <w:t>por</w:t>
      </w:r>
      <w:r>
        <w:t>A</w:t>
      </w:r>
      <w:proofErr w:type="spellEnd"/>
      <w:r>
        <w:t xml:space="preserve"> type in 2018 continues to be P1.7-2</w:t>
      </w:r>
      <w:proofErr w:type="gramStart"/>
      <w:r>
        <w:t>,4</w:t>
      </w:r>
      <w:proofErr w:type="gramEnd"/>
      <w:r>
        <w:t xml:space="preserve"> (19/70, 27%). Other prevalent </w:t>
      </w:r>
      <w:proofErr w:type="spellStart"/>
      <w:r>
        <w:t>serogroup</w:t>
      </w:r>
      <w:proofErr w:type="spellEnd"/>
      <w:r>
        <w:t xml:space="preserve"> B genotypes were P1.7</w:t>
      </w:r>
      <w:proofErr w:type="gramStart"/>
      <w:r>
        <w:t>,16</w:t>
      </w:r>
      <w:proofErr w:type="gramEnd"/>
      <w:r>
        <w:t>-26 (10 cases, 14%), and P1.22,14 (9 cases, 13%), similar to previous years. Also of note, the highest number of genotype P1.19</w:t>
      </w:r>
      <w:proofErr w:type="gramStart"/>
      <w:r>
        <w:t>,15</w:t>
      </w:r>
      <w:proofErr w:type="gramEnd"/>
      <w:r>
        <w:t xml:space="preserve"> (7 cases, 10%) were reported since AMSP genotyping data reporting commenced in 2009. Two of the 4 </w:t>
      </w:r>
      <w:proofErr w:type="spellStart"/>
      <w:r>
        <w:t>serogroup</w:t>
      </w:r>
      <w:proofErr w:type="spellEnd"/>
      <w:r>
        <w:t xml:space="preserve"> C cases were typed; both were P1.5-1</w:t>
      </w:r>
      <w:proofErr w:type="gramStart"/>
      <w:r>
        <w:t>,10</w:t>
      </w:r>
      <w:proofErr w:type="gramEnd"/>
      <w:r>
        <w:t xml:space="preserve">-8. For </w:t>
      </w:r>
      <w:proofErr w:type="spellStart"/>
      <w:r>
        <w:t>serogroup</w:t>
      </w:r>
      <w:proofErr w:type="spellEnd"/>
      <w:r>
        <w:t xml:space="preserve"> Y IMD, the predominant genotype was P1.5-1</w:t>
      </w:r>
      <w:proofErr w:type="gramStart"/>
      <w:r>
        <w:t>,10</w:t>
      </w:r>
      <w:proofErr w:type="gramEnd"/>
      <w:r>
        <w:t xml:space="preserve">-1 (22 cases, 69%), as has been reported since 2014, when the increase in </w:t>
      </w:r>
      <w:proofErr w:type="spellStart"/>
      <w:r>
        <w:t>serogroup</w:t>
      </w:r>
      <w:proofErr w:type="spellEnd"/>
      <w:r>
        <w:t xml:space="preserve"> Y IMD was first noted in Australia. For </w:t>
      </w:r>
      <w:proofErr w:type="spellStart"/>
      <w:r>
        <w:t>serogroup</w:t>
      </w:r>
      <w:proofErr w:type="spellEnd"/>
      <w:r>
        <w:t xml:space="preserve"> W IMD, the predominant genotype remains P1.5</w:t>
      </w:r>
      <w:proofErr w:type="gramStart"/>
      <w:r>
        <w:t>,2</w:t>
      </w:r>
      <w:proofErr w:type="gramEnd"/>
      <w:r>
        <w:t xml:space="preserve"> (66 cases, 89%) (Table 5, Table 6). Of these, 29 cases (44%) were clonal complex 11, the same strain type as the </w:t>
      </w:r>
      <w:proofErr w:type="spellStart"/>
      <w:r>
        <w:t>hypervirulent</w:t>
      </w:r>
      <w:proofErr w:type="spellEnd"/>
      <w:r>
        <w:t xml:space="preserve"> </w:t>
      </w:r>
      <w:proofErr w:type="spellStart"/>
      <w:r>
        <w:t>serogroup</w:t>
      </w:r>
      <w:proofErr w:type="spellEnd"/>
      <w:r>
        <w:t xml:space="preserve"> W strain also reported in the UK and South America since 2009 (Table 7).</w:t>
      </w:r>
      <w:r w:rsidR="00582E42">
        <w:rPr>
          <w:vertAlign w:val="superscript"/>
        </w:rPr>
        <w:t>6,7</w:t>
      </w:r>
    </w:p>
    <w:p w:rsidR="001234B1" w:rsidRDefault="001234B1" w:rsidP="00582E42">
      <w:pPr>
        <w:pStyle w:val="CDIFigures"/>
      </w:pPr>
      <w:r>
        <w:lastRenderedPageBreak/>
        <w:t xml:space="preserve">Table 5: Laboratory-confirmed cases of invasive meningococcal disease, Australia, 2018, by </w:t>
      </w:r>
      <w:proofErr w:type="spellStart"/>
      <w:r>
        <w:rPr>
          <w:lang w:val="en-US"/>
        </w:rPr>
        <w:t>por</w:t>
      </w:r>
      <w:proofErr w:type="spellEnd"/>
      <w:r>
        <w:t>A genotype</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Laboratory confirmed cases of invasive meningococcal disease, Australia, 2018, by PorA gentoype&#10;Table 5 shows the total numbers of the various porA genotypes of N. meningitidis determined in laboratory confirmed cases of invasive meningococcal disease (IMD) in 2018."/>
      </w:tblPr>
      <w:tblGrid>
        <w:gridCol w:w="1660"/>
        <w:gridCol w:w="1244"/>
        <w:gridCol w:w="1244"/>
        <w:gridCol w:w="1245"/>
        <w:gridCol w:w="1244"/>
        <w:gridCol w:w="1245"/>
        <w:gridCol w:w="1244"/>
        <w:gridCol w:w="1245"/>
      </w:tblGrid>
      <w:tr w:rsidR="00E56A49" w:rsidRPr="00E56A49" w:rsidTr="003079F3">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E56A49" w:rsidRPr="00E56A49" w:rsidRDefault="00E56A49">
            <w:pPr>
              <w:pStyle w:val="NormalWeb"/>
              <w:rPr>
                <w:color w:val="FFFFFF" w:themeColor="background1"/>
              </w:rPr>
            </w:pPr>
            <w:r w:rsidRPr="00E56A49">
              <w:rPr>
                <w:color w:val="FFFFFF" w:themeColor="background1"/>
              </w:rPr>
              <w:t>2018 AMSP</w:t>
            </w:r>
          </w:p>
        </w:tc>
        <w:tc>
          <w:tcPr>
            <w:tcW w:w="8711" w:type="dxa"/>
            <w:gridSpan w:val="7"/>
            <w:vAlign w:val="center"/>
            <w:hideMark/>
          </w:tcPr>
          <w:p w:rsidR="00E56A49" w:rsidRPr="00E56A49" w:rsidRDefault="00E56A49" w:rsidP="001113EA">
            <w:pPr>
              <w:jc w:val="center"/>
              <w:rPr>
                <w:rFonts w:eastAsia="Times New Roman"/>
                <w:color w:val="FFFFFF" w:themeColor="background1"/>
                <w:sz w:val="20"/>
                <w:szCs w:val="20"/>
              </w:rPr>
            </w:pPr>
            <w:r w:rsidRPr="00E56A49">
              <w:rPr>
                <w:color w:val="FFFFFF" w:themeColor="background1"/>
              </w:rPr>
              <w:t xml:space="preserve">Number per </w:t>
            </w:r>
            <w:proofErr w:type="spellStart"/>
            <w:r w:rsidRPr="00E56A49">
              <w:rPr>
                <w:color w:val="FFFFFF" w:themeColor="background1"/>
              </w:rPr>
              <w:t>serogroup</w:t>
            </w:r>
            <w:proofErr w:type="spellEnd"/>
          </w:p>
        </w:tc>
      </w:tr>
      <w:tr w:rsidR="00E56A49" w:rsidRPr="00E56A49" w:rsidTr="00E56A49">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1234B1" w:rsidRPr="00E56A49" w:rsidRDefault="001234B1">
            <w:pPr>
              <w:pStyle w:val="NormalWeb"/>
              <w:rPr>
                <w:color w:val="FFFFFF" w:themeColor="background1"/>
                <w:sz w:val="24"/>
                <w:szCs w:val="24"/>
              </w:rPr>
            </w:pPr>
            <w:proofErr w:type="spellStart"/>
            <w:r w:rsidRPr="00E56A49">
              <w:rPr>
                <w:color w:val="FFFFFF" w:themeColor="background1"/>
              </w:rPr>
              <w:t>GENOTYPE_PorA</w:t>
            </w:r>
            <w:proofErr w:type="spellEnd"/>
          </w:p>
        </w:tc>
        <w:tc>
          <w:tcPr>
            <w:tcW w:w="1244" w:type="dxa"/>
            <w:vAlign w:val="center"/>
            <w:hideMark/>
          </w:tcPr>
          <w:p w:rsidR="001234B1" w:rsidRPr="00E56A49" w:rsidRDefault="001234B1" w:rsidP="001113EA">
            <w:pPr>
              <w:pStyle w:val="NormalWeb"/>
              <w:jc w:val="center"/>
              <w:rPr>
                <w:color w:val="FFFFFF" w:themeColor="background1"/>
              </w:rPr>
            </w:pPr>
            <w:r w:rsidRPr="00E56A49">
              <w:rPr>
                <w:color w:val="FFFFFF" w:themeColor="background1"/>
              </w:rPr>
              <w:t>TOTAL</w:t>
            </w:r>
          </w:p>
        </w:tc>
        <w:tc>
          <w:tcPr>
            <w:tcW w:w="1244" w:type="dxa"/>
            <w:vAlign w:val="center"/>
            <w:hideMark/>
          </w:tcPr>
          <w:p w:rsidR="001234B1" w:rsidRPr="00E56A49" w:rsidRDefault="001234B1" w:rsidP="001113EA">
            <w:pPr>
              <w:pStyle w:val="NormalWeb"/>
              <w:jc w:val="center"/>
              <w:rPr>
                <w:color w:val="FFFFFF" w:themeColor="background1"/>
              </w:rPr>
            </w:pPr>
            <w:r w:rsidRPr="00E56A49">
              <w:rPr>
                <w:color w:val="FFFFFF" w:themeColor="background1"/>
              </w:rPr>
              <w:t>B</w:t>
            </w:r>
          </w:p>
        </w:tc>
        <w:tc>
          <w:tcPr>
            <w:tcW w:w="1245" w:type="dxa"/>
            <w:vAlign w:val="center"/>
            <w:hideMark/>
          </w:tcPr>
          <w:p w:rsidR="001234B1" w:rsidRPr="00E56A49" w:rsidRDefault="001234B1" w:rsidP="001113EA">
            <w:pPr>
              <w:pStyle w:val="NormalWeb"/>
              <w:jc w:val="center"/>
              <w:rPr>
                <w:color w:val="FFFFFF" w:themeColor="background1"/>
              </w:rPr>
            </w:pPr>
            <w:r w:rsidRPr="00E56A49">
              <w:rPr>
                <w:color w:val="FFFFFF" w:themeColor="background1"/>
              </w:rPr>
              <w:t>C</w:t>
            </w:r>
          </w:p>
        </w:tc>
        <w:tc>
          <w:tcPr>
            <w:tcW w:w="1244" w:type="dxa"/>
            <w:vAlign w:val="center"/>
            <w:hideMark/>
          </w:tcPr>
          <w:p w:rsidR="001234B1" w:rsidRPr="00E56A49" w:rsidRDefault="001234B1" w:rsidP="001113EA">
            <w:pPr>
              <w:pStyle w:val="NormalWeb"/>
              <w:jc w:val="center"/>
              <w:rPr>
                <w:color w:val="FFFFFF" w:themeColor="background1"/>
              </w:rPr>
            </w:pPr>
            <w:r w:rsidRPr="00E56A49">
              <w:rPr>
                <w:color w:val="FFFFFF" w:themeColor="background1"/>
              </w:rPr>
              <w:t>Y</w:t>
            </w:r>
          </w:p>
        </w:tc>
        <w:tc>
          <w:tcPr>
            <w:tcW w:w="1245" w:type="dxa"/>
            <w:vAlign w:val="center"/>
            <w:hideMark/>
          </w:tcPr>
          <w:p w:rsidR="001234B1" w:rsidRPr="00E56A49" w:rsidRDefault="001234B1" w:rsidP="001113EA">
            <w:pPr>
              <w:pStyle w:val="NormalWeb"/>
              <w:jc w:val="center"/>
              <w:rPr>
                <w:color w:val="FFFFFF" w:themeColor="background1"/>
              </w:rPr>
            </w:pPr>
            <w:r w:rsidRPr="00E56A49">
              <w:rPr>
                <w:color w:val="FFFFFF" w:themeColor="background1"/>
              </w:rPr>
              <w:t>W</w:t>
            </w:r>
          </w:p>
        </w:tc>
        <w:tc>
          <w:tcPr>
            <w:tcW w:w="1244" w:type="dxa"/>
            <w:vAlign w:val="center"/>
            <w:hideMark/>
          </w:tcPr>
          <w:p w:rsidR="001234B1" w:rsidRPr="00E56A49" w:rsidRDefault="001234B1" w:rsidP="001113EA">
            <w:pPr>
              <w:pStyle w:val="NormalWeb"/>
              <w:jc w:val="center"/>
              <w:rPr>
                <w:color w:val="FFFFFF" w:themeColor="background1"/>
              </w:rPr>
            </w:pPr>
            <w:proofErr w:type="spellStart"/>
            <w:r w:rsidRPr="00E56A49">
              <w:rPr>
                <w:color w:val="FFFFFF" w:themeColor="background1"/>
              </w:rPr>
              <w:t>Other</w:t>
            </w:r>
            <w:r w:rsidRPr="00554746">
              <w:rPr>
                <w:color w:val="FFFFFF" w:themeColor="background1"/>
                <w:vertAlign w:val="superscript"/>
              </w:rPr>
              <w:t>a</w:t>
            </w:r>
            <w:proofErr w:type="spellEnd"/>
          </w:p>
        </w:tc>
        <w:tc>
          <w:tcPr>
            <w:tcW w:w="1245" w:type="dxa"/>
            <w:vAlign w:val="center"/>
            <w:hideMark/>
          </w:tcPr>
          <w:p w:rsidR="001234B1" w:rsidRPr="00E56A49" w:rsidRDefault="001234B1" w:rsidP="001113EA">
            <w:pPr>
              <w:pStyle w:val="NormalWeb"/>
              <w:jc w:val="center"/>
              <w:rPr>
                <w:color w:val="FFFFFF" w:themeColor="background1"/>
              </w:rPr>
            </w:pPr>
            <w:r w:rsidRPr="00E56A49">
              <w:rPr>
                <w:color w:val="FFFFFF" w:themeColor="background1"/>
              </w:rPr>
              <w:t>ND</w:t>
            </w:r>
          </w:p>
        </w:tc>
      </w:tr>
      <w:tr w:rsidR="00E56A49" w:rsidTr="001113EA">
        <w:tc>
          <w:tcPr>
            <w:tcW w:w="0" w:type="auto"/>
            <w:hideMark/>
          </w:tcPr>
          <w:p w:rsidR="001234B1" w:rsidRDefault="001234B1">
            <w:pPr>
              <w:pStyle w:val="NormalWeb"/>
            </w:pPr>
            <w:r>
              <w:t>P1.5,2</w:t>
            </w:r>
          </w:p>
        </w:tc>
        <w:tc>
          <w:tcPr>
            <w:tcW w:w="1244" w:type="dxa"/>
            <w:vAlign w:val="center"/>
            <w:hideMark/>
          </w:tcPr>
          <w:p w:rsidR="001234B1" w:rsidRDefault="001234B1" w:rsidP="001113EA">
            <w:pPr>
              <w:pStyle w:val="NormalWeb"/>
              <w:jc w:val="center"/>
            </w:pPr>
            <w:r>
              <w:t>71</w:t>
            </w:r>
          </w:p>
        </w:tc>
        <w:tc>
          <w:tcPr>
            <w:tcW w:w="1244" w:type="dxa"/>
            <w:vAlign w:val="center"/>
            <w:hideMark/>
          </w:tcPr>
          <w:p w:rsidR="001234B1" w:rsidRDefault="001234B1" w:rsidP="001113EA">
            <w:pPr>
              <w:pStyle w:val="NormalWeb"/>
              <w:jc w:val="center"/>
            </w:pPr>
            <w:r>
              <w:t>4</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66</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1</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P1.5,10</w:t>
            </w:r>
          </w:p>
        </w:tc>
        <w:tc>
          <w:tcPr>
            <w:tcW w:w="1244" w:type="dxa"/>
            <w:vAlign w:val="center"/>
            <w:hideMark/>
          </w:tcPr>
          <w:p w:rsidR="001234B1" w:rsidRDefault="001234B1" w:rsidP="001113EA">
            <w:pPr>
              <w:pStyle w:val="NormalWeb"/>
              <w:jc w:val="center"/>
            </w:pPr>
            <w:r>
              <w:t>2</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2</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P1.5,new</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P1.5-1,10</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P1.5-1,10-1</w:t>
            </w:r>
          </w:p>
        </w:tc>
        <w:tc>
          <w:tcPr>
            <w:tcW w:w="1244" w:type="dxa"/>
            <w:vAlign w:val="center"/>
            <w:hideMark/>
          </w:tcPr>
          <w:p w:rsidR="001234B1" w:rsidRDefault="001234B1" w:rsidP="001113EA">
            <w:pPr>
              <w:pStyle w:val="NormalWeb"/>
              <w:jc w:val="center"/>
            </w:pPr>
            <w:r>
              <w:t>23</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22</w:t>
            </w:r>
          </w:p>
        </w:tc>
        <w:tc>
          <w:tcPr>
            <w:tcW w:w="1245"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P1.5-1,10-4</w:t>
            </w:r>
          </w:p>
        </w:tc>
        <w:tc>
          <w:tcPr>
            <w:tcW w:w="1244" w:type="dxa"/>
            <w:vAlign w:val="center"/>
            <w:hideMark/>
          </w:tcPr>
          <w:p w:rsidR="001234B1" w:rsidRDefault="001234B1" w:rsidP="001113EA">
            <w:pPr>
              <w:pStyle w:val="NormalWeb"/>
              <w:jc w:val="center"/>
            </w:pPr>
            <w:r>
              <w:t>6</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2</w:t>
            </w:r>
          </w:p>
        </w:tc>
        <w:tc>
          <w:tcPr>
            <w:tcW w:w="1245" w:type="dxa"/>
            <w:vAlign w:val="center"/>
            <w:hideMark/>
          </w:tcPr>
          <w:p w:rsidR="001234B1" w:rsidRDefault="001234B1" w:rsidP="001113EA">
            <w:pPr>
              <w:pStyle w:val="NormalWeb"/>
              <w:jc w:val="center"/>
            </w:pPr>
            <w:r>
              <w:t>4</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P1.5-1,10-8</w:t>
            </w:r>
          </w:p>
        </w:tc>
        <w:tc>
          <w:tcPr>
            <w:tcW w:w="1244" w:type="dxa"/>
            <w:vAlign w:val="center"/>
            <w:hideMark/>
          </w:tcPr>
          <w:p w:rsidR="001234B1" w:rsidRDefault="001234B1" w:rsidP="001113EA">
            <w:pPr>
              <w:pStyle w:val="NormalWeb"/>
              <w:jc w:val="center"/>
            </w:pPr>
            <w:r>
              <w:t>2</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2</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P1.5-1,10-12</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P1.5-1,2-2</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P1.5-2,10-1</w:t>
            </w:r>
          </w:p>
        </w:tc>
        <w:tc>
          <w:tcPr>
            <w:tcW w:w="1244" w:type="dxa"/>
            <w:vAlign w:val="center"/>
            <w:hideMark/>
          </w:tcPr>
          <w:p w:rsidR="001234B1" w:rsidRDefault="001234B1" w:rsidP="001113EA">
            <w:pPr>
              <w:pStyle w:val="NormalWeb"/>
              <w:jc w:val="center"/>
            </w:pPr>
            <w:r>
              <w:t>3</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3</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P1.7,16-26</w:t>
            </w:r>
          </w:p>
        </w:tc>
        <w:tc>
          <w:tcPr>
            <w:tcW w:w="1244" w:type="dxa"/>
            <w:vAlign w:val="center"/>
            <w:hideMark/>
          </w:tcPr>
          <w:p w:rsidR="001234B1" w:rsidRDefault="001234B1" w:rsidP="001113EA">
            <w:pPr>
              <w:pStyle w:val="NormalWeb"/>
              <w:jc w:val="center"/>
            </w:pPr>
            <w:r>
              <w:t>10</w:t>
            </w:r>
          </w:p>
        </w:tc>
        <w:tc>
          <w:tcPr>
            <w:tcW w:w="1244" w:type="dxa"/>
            <w:vAlign w:val="center"/>
            <w:hideMark/>
          </w:tcPr>
          <w:p w:rsidR="001234B1" w:rsidRDefault="001234B1" w:rsidP="001113EA">
            <w:pPr>
              <w:pStyle w:val="NormalWeb"/>
              <w:jc w:val="center"/>
            </w:pPr>
            <w:r>
              <w:t>10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P1.7,30</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P1.7-2,4</w:t>
            </w:r>
          </w:p>
        </w:tc>
        <w:tc>
          <w:tcPr>
            <w:tcW w:w="1244" w:type="dxa"/>
            <w:vAlign w:val="center"/>
            <w:hideMark/>
          </w:tcPr>
          <w:p w:rsidR="001234B1" w:rsidRDefault="001234B1" w:rsidP="001113EA">
            <w:pPr>
              <w:pStyle w:val="NormalWeb"/>
              <w:jc w:val="center"/>
            </w:pPr>
            <w:r>
              <w:t>19</w:t>
            </w:r>
          </w:p>
        </w:tc>
        <w:tc>
          <w:tcPr>
            <w:tcW w:w="1244" w:type="dxa"/>
            <w:vAlign w:val="center"/>
            <w:hideMark/>
          </w:tcPr>
          <w:p w:rsidR="001234B1" w:rsidRDefault="001234B1" w:rsidP="001113EA">
            <w:pPr>
              <w:pStyle w:val="NormalWeb"/>
              <w:jc w:val="center"/>
            </w:pPr>
            <w:r>
              <w:t>19</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P1.7-2,16-26</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P1.7-11,16-26</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P1.7-36,14</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P1.7-63,9</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P1.12-6,13-49</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P1.17-6,23</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P1.18-1,30-3</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P1.18-1,30-6</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P1.18-1,34</w:t>
            </w:r>
          </w:p>
        </w:tc>
        <w:tc>
          <w:tcPr>
            <w:tcW w:w="1244" w:type="dxa"/>
            <w:vAlign w:val="center"/>
            <w:hideMark/>
          </w:tcPr>
          <w:p w:rsidR="001234B1" w:rsidRDefault="001234B1" w:rsidP="001113EA">
            <w:pPr>
              <w:pStyle w:val="NormalWeb"/>
              <w:jc w:val="center"/>
            </w:pPr>
            <w:r>
              <w:t>6</w:t>
            </w:r>
          </w:p>
        </w:tc>
        <w:tc>
          <w:tcPr>
            <w:tcW w:w="1244" w:type="dxa"/>
            <w:vAlign w:val="center"/>
            <w:hideMark/>
          </w:tcPr>
          <w:p w:rsidR="001234B1" w:rsidRDefault="001234B1" w:rsidP="001113EA">
            <w:pPr>
              <w:pStyle w:val="NormalWeb"/>
              <w:jc w:val="center"/>
            </w:pPr>
            <w:r>
              <w:t>5</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P1.18-10,43</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P1.19,15</w:t>
            </w:r>
          </w:p>
        </w:tc>
        <w:tc>
          <w:tcPr>
            <w:tcW w:w="1244" w:type="dxa"/>
            <w:vAlign w:val="center"/>
            <w:hideMark/>
          </w:tcPr>
          <w:p w:rsidR="001234B1" w:rsidRDefault="001234B1" w:rsidP="001113EA">
            <w:pPr>
              <w:pStyle w:val="NormalWeb"/>
              <w:jc w:val="center"/>
            </w:pPr>
            <w:r>
              <w:t>7</w:t>
            </w:r>
          </w:p>
        </w:tc>
        <w:tc>
          <w:tcPr>
            <w:tcW w:w="1244" w:type="dxa"/>
            <w:vAlign w:val="center"/>
            <w:hideMark/>
          </w:tcPr>
          <w:p w:rsidR="001234B1" w:rsidRDefault="001234B1" w:rsidP="001113EA">
            <w:pPr>
              <w:pStyle w:val="NormalWeb"/>
              <w:jc w:val="center"/>
            </w:pPr>
            <w:r>
              <w:t>7</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P1.19-1,15</w:t>
            </w:r>
          </w:p>
        </w:tc>
        <w:tc>
          <w:tcPr>
            <w:tcW w:w="1244" w:type="dxa"/>
            <w:vAlign w:val="center"/>
            <w:hideMark/>
          </w:tcPr>
          <w:p w:rsidR="001234B1" w:rsidRDefault="001234B1" w:rsidP="001113EA">
            <w:pPr>
              <w:pStyle w:val="NormalWeb"/>
              <w:jc w:val="center"/>
            </w:pPr>
            <w:r>
              <w:t>2</w:t>
            </w:r>
          </w:p>
        </w:tc>
        <w:tc>
          <w:tcPr>
            <w:tcW w:w="1244" w:type="dxa"/>
            <w:vAlign w:val="center"/>
            <w:hideMark/>
          </w:tcPr>
          <w:p w:rsidR="001234B1" w:rsidRDefault="001234B1" w:rsidP="001113EA">
            <w:pPr>
              <w:pStyle w:val="NormalWeb"/>
              <w:jc w:val="center"/>
            </w:pPr>
            <w:r>
              <w:t>2</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P1.19-1,15-11</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P1.21-7,16</w:t>
            </w:r>
          </w:p>
        </w:tc>
        <w:tc>
          <w:tcPr>
            <w:tcW w:w="1244" w:type="dxa"/>
            <w:vAlign w:val="center"/>
            <w:hideMark/>
          </w:tcPr>
          <w:p w:rsidR="001234B1" w:rsidRDefault="001234B1" w:rsidP="001113EA">
            <w:pPr>
              <w:pStyle w:val="NormalWeb"/>
              <w:jc w:val="center"/>
            </w:pPr>
            <w:r>
              <w:t>2</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2</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P1.22,14</w:t>
            </w:r>
          </w:p>
        </w:tc>
        <w:tc>
          <w:tcPr>
            <w:tcW w:w="1244" w:type="dxa"/>
            <w:vAlign w:val="center"/>
            <w:hideMark/>
          </w:tcPr>
          <w:p w:rsidR="001234B1" w:rsidRDefault="001234B1" w:rsidP="001113EA">
            <w:pPr>
              <w:pStyle w:val="NormalWeb"/>
              <w:jc w:val="center"/>
            </w:pPr>
            <w:r>
              <w:t>9</w:t>
            </w:r>
          </w:p>
        </w:tc>
        <w:tc>
          <w:tcPr>
            <w:tcW w:w="1244" w:type="dxa"/>
            <w:vAlign w:val="center"/>
            <w:hideMark/>
          </w:tcPr>
          <w:p w:rsidR="001234B1" w:rsidRDefault="001234B1" w:rsidP="001113EA">
            <w:pPr>
              <w:pStyle w:val="NormalWeb"/>
              <w:jc w:val="center"/>
            </w:pPr>
            <w:r>
              <w:t>9</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P1.22,14-3</w:t>
            </w:r>
          </w:p>
        </w:tc>
        <w:tc>
          <w:tcPr>
            <w:tcW w:w="1244" w:type="dxa"/>
            <w:vAlign w:val="center"/>
            <w:hideMark/>
          </w:tcPr>
          <w:p w:rsidR="001234B1" w:rsidRDefault="001234B1" w:rsidP="001113EA">
            <w:pPr>
              <w:pStyle w:val="NormalWeb"/>
              <w:jc w:val="center"/>
            </w:pPr>
            <w:r>
              <w:t>2</w:t>
            </w:r>
          </w:p>
        </w:tc>
        <w:tc>
          <w:tcPr>
            <w:tcW w:w="1244" w:type="dxa"/>
            <w:vAlign w:val="center"/>
            <w:hideMark/>
          </w:tcPr>
          <w:p w:rsidR="001234B1" w:rsidRDefault="001234B1" w:rsidP="001113EA">
            <w:pPr>
              <w:pStyle w:val="NormalWeb"/>
              <w:jc w:val="center"/>
            </w:pPr>
            <w:r>
              <w:t>2</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P1.22,14-6</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E56A49" w:rsidTr="001113EA">
        <w:tc>
          <w:tcPr>
            <w:tcW w:w="0" w:type="auto"/>
            <w:hideMark/>
          </w:tcPr>
          <w:p w:rsidR="001234B1" w:rsidRDefault="001234B1">
            <w:pPr>
              <w:pStyle w:val="NormalWeb"/>
            </w:pPr>
            <w:r>
              <w:t>P1.22-1,14</w:t>
            </w:r>
          </w:p>
        </w:tc>
        <w:tc>
          <w:tcPr>
            <w:tcW w:w="1244" w:type="dxa"/>
            <w:vAlign w:val="center"/>
            <w:hideMark/>
          </w:tcPr>
          <w:p w:rsidR="001234B1" w:rsidRDefault="001234B1" w:rsidP="001113EA">
            <w:pPr>
              <w:pStyle w:val="NormalWeb"/>
              <w:jc w:val="center"/>
            </w:pPr>
            <w:r>
              <w:t>1</w:t>
            </w:r>
          </w:p>
        </w:tc>
        <w:tc>
          <w:tcPr>
            <w:tcW w:w="1244" w:type="dxa"/>
            <w:vAlign w:val="center"/>
            <w:hideMark/>
          </w:tcPr>
          <w:p w:rsidR="001234B1" w:rsidRDefault="001234B1" w:rsidP="001113EA">
            <w:pPr>
              <w:pStyle w:val="NormalWeb"/>
              <w:jc w:val="center"/>
            </w:pPr>
            <w:r>
              <w:t>1</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c>
          <w:tcPr>
            <w:tcW w:w="1244" w:type="dxa"/>
            <w:vAlign w:val="center"/>
            <w:hideMark/>
          </w:tcPr>
          <w:p w:rsidR="001234B1" w:rsidRDefault="001234B1" w:rsidP="001113EA">
            <w:pPr>
              <w:pStyle w:val="NormalWeb"/>
              <w:jc w:val="center"/>
            </w:pPr>
            <w:r>
              <w:t>0</w:t>
            </w:r>
          </w:p>
        </w:tc>
        <w:tc>
          <w:tcPr>
            <w:tcW w:w="1245" w:type="dxa"/>
            <w:vAlign w:val="center"/>
            <w:hideMark/>
          </w:tcPr>
          <w:p w:rsidR="001234B1" w:rsidRDefault="001234B1" w:rsidP="001113EA">
            <w:pPr>
              <w:pStyle w:val="NormalWeb"/>
              <w:jc w:val="center"/>
            </w:pPr>
            <w:r>
              <w:t>0</w:t>
            </w:r>
          </w:p>
        </w:tc>
      </w:tr>
      <w:tr w:rsidR="001234B1" w:rsidRPr="004939C0" w:rsidTr="004939C0">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1234B1" w:rsidRPr="004939C0" w:rsidRDefault="001234B1">
            <w:pPr>
              <w:pStyle w:val="NormalWeb"/>
              <w:rPr>
                <w:b/>
              </w:rPr>
            </w:pPr>
            <w:r w:rsidRPr="004939C0">
              <w:rPr>
                <w:b/>
              </w:rPr>
              <w:t>Total</w:t>
            </w:r>
          </w:p>
        </w:tc>
        <w:tc>
          <w:tcPr>
            <w:tcW w:w="1244" w:type="dxa"/>
            <w:shd w:val="clear" w:color="auto" w:fill="FDE9D9" w:themeFill="accent6" w:themeFillTint="33"/>
            <w:vAlign w:val="center"/>
            <w:hideMark/>
          </w:tcPr>
          <w:p w:rsidR="001234B1" w:rsidRPr="004939C0" w:rsidRDefault="001234B1" w:rsidP="001113EA">
            <w:pPr>
              <w:pStyle w:val="NormalWeb"/>
              <w:jc w:val="center"/>
              <w:rPr>
                <w:b/>
              </w:rPr>
            </w:pPr>
            <w:r w:rsidRPr="004939C0">
              <w:rPr>
                <w:b/>
              </w:rPr>
              <w:t>181</w:t>
            </w:r>
          </w:p>
        </w:tc>
        <w:tc>
          <w:tcPr>
            <w:tcW w:w="1244" w:type="dxa"/>
            <w:shd w:val="clear" w:color="auto" w:fill="FDE9D9" w:themeFill="accent6" w:themeFillTint="33"/>
            <w:vAlign w:val="center"/>
            <w:hideMark/>
          </w:tcPr>
          <w:p w:rsidR="001234B1" w:rsidRPr="004939C0" w:rsidRDefault="001234B1" w:rsidP="001113EA">
            <w:pPr>
              <w:pStyle w:val="NormalWeb"/>
              <w:jc w:val="center"/>
              <w:rPr>
                <w:b/>
              </w:rPr>
            </w:pPr>
            <w:r w:rsidRPr="004939C0">
              <w:rPr>
                <w:b/>
              </w:rPr>
              <w:t>70</w:t>
            </w:r>
          </w:p>
        </w:tc>
        <w:tc>
          <w:tcPr>
            <w:tcW w:w="1245" w:type="dxa"/>
            <w:shd w:val="clear" w:color="auto" w:fill="FDE9D9" w:themeFill="accent6" w:themeFillTint="33"/>
            <w:vAlign w:val="center"/>
            <w:hideMark/>
          </w:tcPr>
          <w:p w:rsidR="001234B1" w:rsidRPr="004939C0" w:rsidRDefault="001234B1" w:rsidP="001113EA">
            <w:pPr>
              <w:pStyle w:val="NormalWeb"/>
              <w:jc w:val="center"/>
              <w:rPr>
                <w:b/>
              </w:rPr>
            </w:pPr>
            <w:r w:rsidRPr="004939C0">
              <w:rPr>
                <w:b/>
              </w:rPr>
              <w:t>2</w:t>
            </w:r>
          </w:p>
        </w:tc>
        <w:tc>
          <w:tcPr>
            <w:tcW w:w="1244" w:type="dxa"/>
            <w:shd w:val="clear" w:color="auto" w:fill="FDE9D9" w:themeFill="accent6" w:themeFillTint="33"/>
            <w:vAlign w:val="center"/>
            <w:hideMark/>
          </w:tcPr>
          <w:p w:rsidR="001234B1" w:rsidRPr="004939C0" w:rsidRDefault="001234B1" w:rsidP="001113EA">
            <w:pPr>
              <w:pStyle w:val="NormalWeb"/>
              <w:jc w:val="center"/>
              <w:rPr>
                <w:b/>
              </w:rPr>
            </w:pPr>
            <w:r w:rsidRPr="004939C0">
              <w:rPr>
                <w:b/>
              </w:rPr>
              <w:t>32</w:t>
            </w:r>
          </w:p>
        </w:tc>
        <w:tc>
          <w:tcPr>
            <w:tcW w:w="1245" w:type="dxa"/>
            <w:shd w:val="clear" w:color="auto" w:fill="FDE9D9" w:themeFill="accent6" w:themeFillTint="33"/>
            <w:vAlign w:val="center"/>
            <w:hideMark/>
          </w:tcPr>
          <w:p w:rsidR="001234B1" w:rsidRPr="004939C0" w:rsidRDefault="001234B1" w:rsidP="001113EA">
            <w:pPr>
              <w:pStyle w:val="NormalWeb"/>
              <w:jc w:val="center"/>
              <w:rPr>
                <w:b/>
              </w:rPr>
            </w:pPr>
            <w:r w:rsidRPr="004939C0">
              <w:rPr>
                <w:b/>
              </w:rPr>
              <w:t>74</w:t>
            </w:r>
          </w:p>
        </w:tc>
        <w:tc>
          <w:tcPr>
            <w:tcW w:w="1244" w:type="dxa"/>
            <w:shd w:val="clear" w:color="auto" w:fill="FDE9D9" w:themeFill="accent6" w:themeFillTint="33"/>
            <w:vAlign w:val="center"/>
            <w:hideMark/>
          </w:tcPr>
          <w:p w:rsidR="001234B1" w:rsidRPr="004939C0" w:rsidRDefault="001234B1" w:rsidP="001113EA">
            <w:pPr>
              <w:pStyle w:val="NormalWeb"/>
              <w:jc w:val="center"/>
              <w:rPr>
                <w:b/>
              </w:rPr>
            </w:pPr>
            <w:r w:rsidRPr="004939C0">
              <w:rPr>
                <w:b/>
              </w:rPr>
              <w:t>2</w:t>
            </w:r>
          </w:p>
        </w:tc>
        <w:tc>
          <w:tcPr>
            <w:tcW w:w="1245" w:type="dxa"/>
            <w:shd w:val="clear" w:color="auto" w:fill="FDE9D9" w:themeFill="accent6" w:themeFillTint="33"/>
            <w:vAlign w:val="center"/>
            <w:hideMark/>
          </w:tcPr>
          <w:p w:rsidR="001234B1" w:rsidRPr="004939C0" w:rsidRDefault="001234B1" w:rsidP="001113EA">
            <w:pPr>
              <w:pStyle w:val="NormalWeb"/>
              <w:jc w:val="center"/>
              <w:rPr>
                <w:b/>
              </w:rPr>
            </w:pPr>
            <w:r w:rsidRPr="004939C0">
              <w:rPr>
                <w:b/>
              </w:rPr>
              <w:t>1</w:t>
            </w:r>
          </w:p>
        </w:tc>
      </w:tr>
    </w:tbl>
    <w:p w:rsidR="001234B1" w:rsidRDefault="001234B1" w:rsidP="001234B1">
      <w:pPr>
        <w:pStyle w:val="CDIfootnotes"/>
      </w:pPr>
      <w:proofErr w:type="spellStart"/>
      <w:proofErr w:type="gramStart"/>
      <w:r>
        <w:t>a</w:t>
      </w:r>
      <w:proofErr w:type="spellEnd"/>
      <w:proofErr w:type="gramEnd"/>
      <w:r>
        <w:tab/>
        <w:t xml:space="preserve">Other: </w:t>
      </w:r>
      <w:proofErr w:type="spellStart"/>
      <w:r>
        <w:t>serogroup</w:t>
      </w:r>
      <w:proofErr w:type="spellEnd"/>
      <w:r>
        <w:t xml:space="preserve"> E</w:t>
      </w:r>
    </w:p>
    <w:p w:rsidR="00E41A6C" w:rsidRDefault="00E41A6C" w:rsidP="00E41A6C">
      <w:pPr>
        <w:pStyle w:val="CDIFigures"/>
        <w:sectPr w:rsidR="00E41A6C" w:rsidSect="00A30C37">
          <w:pgSz w:w="11906" w:h="16838"/>
          <w:pgMar w:top="720" w:right="720" w:bottom="1134" w:left="720" w:header="709" w:footer="284" w:gutter="0"/>
          <w:cols w:space="708"/>
          <w:titlePg/>
          <w:docGrid w:linePitch="360"/>
        </w:sectPr>
      </w:pPr>
    </w:p>
    <w:p w:rsidR="001234B1" w:rsidRDefault="001234B1" w:rsidP="00E41A6C">
      <w:pPr>
        <w:pStyle w:val="CDIFigures"/>
      </w:pPr>
      <w:r>
        <w:lastRenderedPageBreak/>
        <w:t xml:space="preserve">Table 6: Distribution of </w:t>
      </w:r>
      <w:proofErr w:type="spellStart"/>
      <w:r>
        <w:rPr>
          <w:lang w:val="en-US"/>
        </w:rPr>
        <w:t>porA</w:t>
      </w:r>
      <w:proofErr w:type="spellEnd"/>
      <w:r>
        <w:t xml:space="preserve"> genotype laboratory-confirmed cases of invasive meningococcal disease, Australia, 2018,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Distribution of PorA genotype laboratory confirmed cases of invasive meningococcal disease, Australia, 2018, by state or territory&#10;Table 6 shows the geographical distribution of the various porA genotypes of N. meningitidis determined in laboratory confirmed cases of invasive meningococcal disease (IMD) in 2018."/>
      </w:tblPr>
      <w:tblGrid>
        <w:gridCol w:w="1660"/>
        <w:gridCol w:w="1088"/>
        <w:gridCol w:w="1089"/>
        <w:gridCol w:w="1089"/>
        <w:gridCol w:w="1089"/>
        <w:gridCol w:w="1089"/>
        <w:gridCol w:w="1089"/>
        <w:gridCol w:w="1089"/>
        <w:gridCol w:w="1089"/>
      </w:tblGrid>
      <w:tr w:rsidR="00543BFE" w:rsidRPr="00543BFE" w:rsidTr="00543BFE">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1234B1" w:rsidRPr="00543BFE" w:rsidRDefault="001234B1">
            <w:pPr>
              <w:pStyle w:val="NormalWeb"/>
              <w:rPr>
                <w:color w:val="FFFFFF" w:themeColor="background1"/>
              </w:rPr>
            </w:pPr>
            <w:r w:rsidRPr="00543BFE">
              <w:rPr>
                <w:color w:val="FFFFFF" w:themeColor="background1"/>
              </w:rPr>
              <w:t>2018 AMSP</w:t>
            </w:r>
          </w:p>
        </w:tc>
        <w:tc>
          <w:tcPr>
            <w:tcW w:w="8711" w:type="dxa"/>
            <w:gridSpan w:val="8"/>
            <w:hideMark/>
          </w:tcPr>
          <w:p w:rsidR="001234B1" w:rsidRPr="00543BFE" w:rsidRDefault="001234B1" w:rsidP="00323AB1">
            <w:pPr>
              <w:pStyle w:val="NormalWeb"/>
              <w:jc w:val="center"/>
              <w:rPr>
                <w:color w:val="FFFFFF" w:themeColor="background1"/>
              </w:rPr>
            </w:pPr>
            <w:r w:rsidRPr="00543BFE">
              <w:rPr>
                <w:color w:val="FFFFFF" w:themeColor="background1"/>
              </w:rPr>
              <w:t xml:space="preserve">Number per </w:t>
            </w:r>
            <w:proofErr w:type="spellStart"/>
            <w:r w:rsidRPr="00543BFE">
              <w:rPr>
                <w:color w:val="FFFFFF" w:themeColor="background1"/>
              </w:rPr>
              <w:t>serogroup</w:t>
            </w:r>
            <w:proofErr w:type="spellEnd"/>
            <w:r w:rsidRPr="00543BFE">
              <w:rPr>
                <w:color w:val="FFFFFF" w:themeColor="background1"/>
              </w:rPr>
              <w:t xml:space="preserve"> per state</w:t>
            </w:r>
          </w:p>
        </w:tc>
      </w:tr>
      <w:tr w:rsidR="00543BFE" w:rsidRPr="00543BFE" w:rsidTr="00543BFE">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1234B1" w:rsidRPr="00543BFE" w:rsidRDefault="001234B1">
            <w:pPr>
              <w:pStyle w:val="NormalWeb"/>
              <w:rPr>
                <w:color w:val="FFFFFF" w:themeColor="background1"/>
              </w:rPr>
            </w:pPr>
            <w:proofErr w:type="spellStart"/>
            <w:r w:rsidRPr="00543BFE">
              <w:rPr>
                <w:color w:val="FFFFFF" w:themeColor="background1"/>
              </w:rPr>
              <w:t>GENOTYPE_PorA</w:t>
            </w:r>
            <w:proofErr w:type="spellEnd"/>
          </w:p>
        </w:tc>
        <w:tc>
          <w:tcPr>
            <w:tcW w:w="1088" w:type="dxa"/>
            <w:hideMark/>
          </w:tcPr>
          <w:p w:rsidR="001234B1" w:rsidRPr="00543BFE" w:rsidRDefault="001234B1" w:rsidP="00323AB1">
            <w:pPr>
              <w:pStyle w:val="NormalWeb"/>
              <w:jc w:val="center"/>
              <w:rPr>
                <w:color w:val="FFFFFF" w:themeColor="background1"/>
              </w:rPr>
            </w:pPr>
            <w:r w:rsidRPr="00543BFE">
              <w:rPr>
                <w:color w:val="FFFFFF" w:themeColor="background1"/>
              </w:rPr>
              <w:t>NSW</w:t>
            </w:r>
          </w:p>
        </w:tc>
        <w:tc>
          <w:tcPr>
            <w:tcW w:w="1089" w:type="dxa"/>
            <w:hideMark/>
          </w:tcPr>
          <w:p w:rsidR="001234B1" w:rsidRPr="00543BFE" w:rsidRDefault="001234B1" w:rsidP="00323AB1">
            <w:pPr>
              <w:pStyle w:val="NormalWeb"/>
              <w:jc w:val="center"/>
              <w:rPr>
                <w:color w:val="FFFFFF" w:themeColor="background1"/>
              </w:rPr>
            </w:pPr>
            <w:r w:rsidRPr="00543BFE">
              <w:rPr>
                <w:color w:val="FFFFFF" w:themeColor="background1"/>
              </w:rPr>
              <w:t>Qld</w:t>
            </w:r>
          </w:p>
        </w:tc>
        <w:tc>
          <w:tcPr>
            <w:tcW w:w="1089" w:type="dxa"/>
            <w:hideMark/>
          </w:tcPr>
          <w:p w:rsidR="001234B1" w:rsidRPr="00543BFE" w:rsidRDefault="001234B1" w:rsidP="00323AB1">
            <w:pPr>
              <w:pStyle w:val="NormalWeb"/>
              <w:jc w:val="center"/>
              <w:rPr>
                <w:color w:val="FFFFFF" w:themeColor="background1"/>
              </w:rPr>
            </w:pPr>
            <w:r w:rsidRPr="00543BFE">
              <w:rPr>
                <w:color w:val="FFFFFF" w:themeColor="background1"/>
              </w:rPr>
              <w:t>Vic</w:t>
            </w:r>
          </w:p>
        </w:tc>
        <w:tc>
          <w:tcPr>
            <w:tcW w:w="1089" w:type="dxa"/>
            <w:hideMark/>
          </w:tcPr>
          <w:p w:rsidR="001234B1" w:rsidRPr="00543BFE" w:rsidRDefault="001234B1" w:rsidP="00323AB1">
            <w:pPr>
              <w:pStyle w:val="NormalWeb"/>
              <w:jc w:val="center"/>
              <w:rPr>
                <w:color w:val="FFFFFF" w:themeColor="background1"/>
              </w:rPr>
            </w:pPr>
            <w:r w:rsidRPr="00543BFE">
              <w:rPr>
                <w:color w:val="FFFFFF" w:themeColor="background1"/>
              </w:rPr>
              <w:t>SA</w:t>
            </w:r>
          </w:p>
        </w:tc>
        <w:tc>
          <w:tcPr>
            <w:tcW w:w="1089" w:type="dxa"/>
            <w:hideMark/>
          </w:tcPr>
          <w:p w:rsidR="001234B1" w:rsidRPr="00543BFE" w:rsidRDefault="001234B1" w:rsidP="00323AB1">
            <w:pPr>
              <w:pStyle w:val="NormalWeb"/>
              <w:jc w:val="center"/>
              <w:rPr>
                <w:color w:val="FFFFFF" w:themeColor="background1"/>
              </w:rPr>
            </w:pPr>
            <w:r w:rsidRPr="00543BFE">
              <w:rPr>
                <w:color w:val="FFFFFF" w:themeColor="background1"/>
              </w:rPr>
              <w:t>WA</w:t>
            </w:r>
          </w:p>
        </w:tc>
        <w:tc>
          <w:tcPr>
            <w:tcW w:w="1089" w:type="dxa"/>
            <w:hideMark/>
          </w:tcPr>
          <w:p w:rsidR="001234B1" w:rsidRPr="00543BFE" w:rsidRDefault="001234B1" w:rsidP="00323AB1">
            <w:pPr>
              <w:pStyle w:val="NormalWeb"/>
              <w:jc w:val="center"/>
              <w:rPr>
                <w:color w:val="FFFFFF" w:themeColor="background1"/>
              </w:rPr>
            </w:pPr>
            <w:r w:rsidRPr="00543BFE">
              <w:rPr>
                <w:color w:val="FFFFFF" w:themeColor="background1"/>
              </w:rPr>
              <w:t>ACT</w:t>
            </w:r>
          </w:p>
        </w:tc>
        <w:tc>
          <w:tcPr>
            <w:tcW w:w="1089" w:type="dxa"/>
            <w:hideMark/>
          </w:tcPr>
          <w:p w:rsidR="001234B1" w:rsidRPr="00543BFE" w:rsidRDefault="001234B1" w:rsidP="00323AB1">
            <w:pPr>
              <w:pStyle w:val="NormalWeb"/>
              <w:jc w:val="center"/>
              <w:rPr>
                <w:color w:val="FFFFFF" w:themeColor="background1"/>
              </w:rPr>
            </w:pPr>
            <w:r w:rsidRPr="00543BFE">
              <w:rPr>
                <w:color w:val="FFFFFF" w:themeColor="background1"/>
              </w:rPr>
              <w:t>Tas</w:t>
            </w:r>
          </w:p>
        </w:tc>
        <w:tc>
          <w:tcPr>
            <w:tcW w:w="1089" w:type="dxa"/>
            <w:hideMark/>
          </w:tcPr>
          <w:p w:rsidR="001234B1" w:rsidRPr="00543BFE" w:rsidRDefault="001234B1" w:rsidP="00323AB1">
            <w:pPr>
              <w:pStyle w:val="NormalWeb"/>
              <w:jc w:val="center"/>
              <w:rPr>
                <w:color w:val="FFFFFF" w:themeColor="background1"/>
              </w:rPr>
            </w:pPr>
            <w:r w:rsidRPr="00543BFE">
              <w:rPr>
                <w:color w:val="FFFFFF" w:themeColor="background1"/>
              </w:rPr>
              <w:t>NT</w:t>
            </w:r>
          </w:p>
        </w:tc>
      </w:tr>
      <w:tr w:rsidR="00543BFE" w:rsidTr="00770075">
        <w:tc>
          <w:tcPr>
            <w:tcW w:w="0" w:type="auto"/>
            <w:hideMark/>
          </w:tcPr>
          <w:p w:rsidR="001234B1" w:rsidRDefault="001234B1">
            <w:pPr>
              <w:pStyle w:val="NormalWeb"/>
            </w:pPr>
            <w:r>
              <w:t>P1.5,2</w:t>
            </w:r>
          </w:p>
        </w:tc>
        <w:tc>
          <w:tcPr>
            <w:tcW w:w="1088" w:type="dxa"/>
            <w:hideMark/>
          </w:tcPr>
          <w:p w:rsidR="001234B1" w:rsidRDefault="001234B1" w:rsidP="00323AB1">
            <w:pPr>
              <w:pStyle w:val="NormalWeb"/>
              <w:jc w:val="center"/>
            </w:pPr>
            <w:r>
              <w:t>1B, 7W</w:t>
            </w:r>
          </w:p>
        </w:tc>
        <w:tc>
          <w:tcPr>
            <w:tcW w:w="1089" w:type="dxa"/>
            <w:hideMark/>
          </w:tcPr>
          <w:p w:rsidR="001234B1" w:rsidRDefault="001234B1" w:rsidP="00323AB1">
            <w:pPr>
              <w:pStyle w:val="NormalWeb"/>
              <w:jc w:val="center"/>
            </w:pPr>
            <w:r>
              <w:t>2B, 10W</w:t>
            </w:r>
          </w:p>
        </w:tc>
        <w:tc>
          <w:tcPr>
            <w:tcW w:w="1089" w:type="dxa"/>
            <w:hideMark/>
          </w:tcPr>
          <w:p w:rsidR="001234B1" w:rsidRDefault="001234B1" w:rsidP="00323AB1">
            <w:pPr>
              <w:pStyle w:val="NormalWeb"/>
              <w:jc w:val="center"/>
            </w:pPr>
            <w:r>
              <w:t>15W, 1ND</w:t>
            </w:r>
          </w:p>
        </w:tc>
        <w:tc>
          <w:tcPr>
            <w:tcW w:w="1089"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21W</w:t>
            </w:r>
          </w:p>
        </w:tc>
        <w:tc>
          <w:tcPr>
            <w:tcW w:w="1089"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1B, 5W</w:t>
            </w:r>
          </w:p>
        </w:tc>
        <w:tc>
          <w:tcPr>
            <w:tcW w:w="1089" w:type="dxa"/>
            <w:hideMark/>
          </w:tcPr>
          <w:p w:rsidR="001234B1" w:rsidRDefault="001234B1" w:rsidP="00323AB1">
            <w:pPr>
              <w:pStyle w:val="NormalWeb"/>
              <w:jc w:val="center"/>
            </w:pPr>
            <w:r>
              <w:t>8W</w:t>
            </w: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P1.5,10</w:t>
            </w:r>
          </w:p>
        </w:tc>
        <w:tc>
          <w:tcPr>
            <w:tcW w:w="1088"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2W</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543BFE" w:rsidTr="00770075">
        <w:tc>
          <w:tcPr>
            <w:tcW w:w="0" w:type="auto"/>
            <w:hideMark/>
          </w:tcPr>
          <w:p w:rsidR="001234B1" w:rsidRDefault="001234B1">
            <w:pPr>
              <w:pStyle w:val="NormalWeb"/>
              <w:rPr>
                <w:sz w:val="24"/>
                <w:szCs w:val="24"/>
              </w:rPr>
            </w:pPr>
            <w:r>
              <w:t>P1.5,new</w:t>
            </w:r>
          </w:p>
        </w:tc>
        <w:tc>
          <w:tcPr>
            <w:tcW w:w="1088"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pStyle w:val="NormalWeb"/>
              <w:jc w:val="center"/>
              <w:rPr>
                <w:sz w:val="24"/>
                <w:szCs w:val="24"/>
              </w:rPr>
            </w:pPr>
            <w:r>
              <w:t>1W</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P1.5-1,10</w:t>
            </w:r>
          </w:p>
        </w:tc>
        <w:tc>
          <w:tcPr>
            <w:tcW w:w="1088"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1Y</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543BFE" w:rsidTr="00770075">
        <w:tc>
          <w:tcPr>
            <w:tcW w:w="0" w:type="auto"/>
            <w:hideMark/>
          </w:tcPr>
          <w:p w:rsidR="001234B1" w:rsidRDefault="001234B1">
            <w:pPr>
              <w:pStyle w:val="NormalWeb"/>
              <w:rPr>
                <w:sz w:val="24"/>
                <w:szCs w:val="24"/>
              </w:rPr>
            </w:pPr>
            <w:r>
              <w:t>P1.5-1,10-1</w:t>
            </w:r>
          </w:p>
        </w:tc>
        <w:tc>
          <w:tcPr>
            <w:tcW w:w="1088" w:type="dxa"/>
            <w:hideMark/>
          </w:tcPr>
          <w:p w:rsidR="001234B1" w:rsidRDefault="001234B1" w:rsidP="00323AB1">
            <w:pPr>
              <w:pStyle w:val="NormalWeb"/>
              <w:jc w:val="center"/>
            </w:pPr>
            <w:r>
              <w:t>5Y</w:t>
            </w:r>
          </w:p>
        </w:tc>
        <w:tc>
          <w:tcPr>
            <w:tcW w:w="1089" w:type="dxa"/>
            <w:hideMark/>
          </w:tcPr>
          <w:p w:rsidR="001234B1" w:rsidRDefault="001234B1" w:rsidP="00323AB1">
            <w:pPr>
              <w:pStyle w:val="NormalWeb"/>
              <w:jc w:val="center"/>
            </w:pPr>
            <w:r>
              <w:t>6Y</w:t>
            </w:r>
          </w:p>
        </w:tc>
        <w:tc>
          <w:tcPr>
            <w:tcW w:w="1089" w:type="dxa"/>
            <w:hideMark/>
          </w:tcPr>
          <w:p w:rsidR="001234B1" w:rsidRDefault="001234B1" w:rsidP="00323AB1">
            <w:pPr>
              <w:pStyle w:val="NormalWeb"/>
              <w:jc w:val="center"/>
            </w:pPr>
            <w:r>
              <w:t>6Y, 1W</w:t>
            </w:r>
          </w:p>
        </w:tc>
        <w:tc>
          <w:tcPr>
            <w:tcW w:w="1089" w:type="dxa"/>
            <w:hideMark/>
          </w:tcPr>
          <w:p w:rsidR="001234B1" w:rsidRDefault="001234B1" w:rsidP="00323AB1">
            <w:pPr>
              <w:pStyle w:val="NormalWeb"/>
              <w:jc w:val="center"/>
            </w:pPr>
            <w:r>
              <w:t>1Y</w:t>
            </w:r>
          </w:p>
        </w:tc>
        <w:tc>
          <w:tcPr>
            <w:tcW w:w="1089" w:type="dxa"/>
            <w:hideMark/>
          </w:tcPr>
          <w:p w:rsidR="001234B1" w:rsidRDefault="001234B1" w:rsidP="00323AB1">
            <w:pPr>
              <w:pStyle w:val="NormalWeb"/>
              <w:jc w:val="center"/>
            </w:pPr>
            <w:r>
              <w:t>2Y</w:t>
            </w:r>
          </w:p>
        </w:tc>
        <w:tc>
          <w:tcPr>
            <w:tcW w:w="1089"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2Y</w:t>
            </w:r>
          </w:p>
        </w:tc>
        <w:tc>
          <w:tcPr>
            <w:tcW w:w="1089" w:type="dxa"/>
            <w:hideMark/>
          </w:tcPr>
          <w:p w:rsidR="001234B1" w:rsidRDefault="001234B1" w:rsidP="00323AB1">
            <w:pPr>
              <w:jc w:val="cente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P1.5-1,10-4</w:t>
            </w:r>
          </w:p>
        </w:tc>
        <w:tc>
          <w:tcPr>
            <w:tcW w:w="1088" w:type="dxa"/>
            <w:hideMark/>
          </w:tcPr>
          <w:p w:rsidR="001234B1" w:rsidRDefault="001234B1" w:rsidP="00323AB1">
            <w:pPr>
              <w:pStyle w:val="NormalWeb"/>
              <w:jc w:val="center"/>
            </w:pPr>
            <w:r>
              <w:t>1Y</w:t>
            </w:r>
          </w:p>
        </w:tc>
        <w:tc>
          <w:tcPr>
            <w:tcW w:w="1089" w:type="dxa"/>
            <w:hideMark/>
          </w:tcPr>
          <w:p w:rsidR="001234B1" w:rsidRDefault="001234B1" w:rsidP="00323AB1">
            <w:pPr>
              <w:pStyle w:val="NormalWeb"/>
              <w:jc w:val="center"/>
            </w:pPr>
            <w:r>
              <w:t>1W</w:t>
            </w:r>
          </w:p>
        </w:tc>
        <w:tc>
          <w:tcPr>
            <w:tcW w:w="1089" w:type="dxa"/>
            <w:hideMark/>
          </w:tcPr>
          <w:p w:rsidR="001234B1" w:rsidRDefault="001234B1" w:rsidP="00323AB1">
            <w:pPr>
              <w:pStyle w:val="NormalWeb"/>
              <w:jc w:val="center"/>
            </w:pPr>
            <w:r>
              <w:t>1Y, 3W</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543BFE" w:rsidTr="00770075">
        <w:tc>
          <w:tcPr>
            <w:tcW w:w="0" w:type="auto"/>
            <w:hideMark/>
          </w:tcPr>
          <w:p w:rsidR="001234B1" w:rsidRDefault="001234B1">
            <w:pPr>
              <w:pStyle w:val="NormalWeb"/>
              <w:rPr>
                <w:sz w:val="24"/>
                <w:szCs w:val="24"/>
              </w:rPr>
            </w:pPr>
            <w:r>
              <w:t>P1.5-1,10-8</w:t>
            </w:r>
          </w:p>
        </w:tc>
        <w:tc>
          <w:tcPr>
            <w:tcW w:w="1088"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1C</w:t>
            </w:r>
          </w:p>
        </w:tc>
        <w:tc>
          <w:tcPr>
            <w:tcW w:w="1089" w:type="dxa"/>
            <w:hideMark/>
          </w:tcPr>
          <w:p w:rsidR="001234B1" w:rsidRDefault="001234B1" w:rsidP="00323AB1">
            <w:pPr>
              <w:pStyle w:val="NormalWeb"/>
              <w:jc w:val="center"/>
            </w:pPr>
            <w:r>
              <w:t>1C</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P1.5-1,10-12</w:t>
            </w:r>
          </w:p>
        </w:tc>
        <w:tc>
          <w:tcPr>
            <w:tcW w:w="1088"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pStyle w:val="NormalWeb"/>
              <w:jc w:val="center"/>
              <w:rPr>
                <w:sz w:val="24"/>
                <w:szCs w:val="24"/>
              </w:rPr>
            </w:pPr>
            <w:r>
              <w:t>1Y</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543BFE" w:rsidTr="00770075">
        <w:tc>
          <w:tcPr>
            <w:tcW w:w="0" w:type="auto"/>
            <w:hideMark/>
          </w:tcPr>
          <w:p w:rsidR="001234B1" w:rsidRDefault="001234B1">
            <w:pPr>
              <w:pStyle w:val="NormalWeb"/>
              <w:rPr>
                <w:sz w:val="24"/>
                <w:szCs w:val="24"/>
              </w:rPr>
            </w:pPr>
            <w:r>
              <w:t>P1.5-1,2-2</w:t>
            </w:r>
          </w:p>
        </w:tc>
        <w:tc>
          <w:tcPr>
            <w:tcW w:w="1088"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pStyle w:val="NormalWeb"/>
              <w:jc w:val="center"/>
              <w:rPr>
                <w:sz w:val="24"/>
                <w:szCs w:val="24"/>
              </w:rPr>
            </w:pPr>
            <w:r>
              <w:t>1Y</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P1.5-2,10-1</w:t>
            </w:r>
          </w:p>
        </w:tc>
        <w:tc>
          <w:tcPr>
            <w:tcW w:w="1088"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1Y</w:t>
            </w:r>
          </w:p>
        </w:tc>
        <w:tc>
          <w:tcPr>
            <w:tcW w:w="1089" w:type="dxa"/>
            <w:hideMark/>
          </w:tcPr>
          <w:p w:rsidR="001234B1" w:rsidRDefault="001234B1" w:rsidP="00323AB1">
            <w:pPr>
              <w:pStyle w:val="NormalWeb"/>
              <w:jc w:val="center"/>
            </w:pPr>
            <w:r>
              <w:t>2Y</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543BFE" w:rsidTr="00770075">
        <w:tc>
          <w:tcPr>
            <w:tcW w:w="0" w:type="auto"/>
            <w:hideMark/>
          </w:tcPr>
          <w:p w:rsidR="001234B1" w:rsidRDefault="001234B1">
            <w:pPr>
              <w:pStyle w:val="NormalWeb"/>
              <w:rPr>
                <w:sz w:val="24"/>
                <w:szCs w:val="24"/>
              </w:rPr>
            </w:pPr>
            <w:r>
              <w:t>P1.7,16-26</w:t>
            </w:r>
          </w:p>
        </w:tc>
        <w:tc>
          <w:tcPr>
            <w:tcW w:w="1088" w:type="dxa"/>
            <w:hideMark/>
          </w:tcPr>
          <w:p w:rsidR="001234B1" w:rsidRDefault="001234B1" w:rsidP="00323AB1">
            <w:pPr>
              <w:pStyle w:val="NormalWeb"/>
              <w:jc w:val="center"/>
            </w:pPr>
            <w:r>
              <w:t>3B</w:t>
            </w:r>
          </w:p>
        </w:tc>
        <w:tc>
          <w:tcPr>
            <w:tcW w:w="1089" w:type="dxa"/>
            <w:hideMark/>
          </w:tcPr>
          <w:p w:rsidR="001234B1" w:rsidRDefault="001234B1" w:rsidP="00323AB1">
            <w:pPr>
              <w:pStyle w:val="NormalWeb"/>
              <w:jc w:val="center"/>
            </w:pPr>
            <w:r>
              <w:t>2B</w:t>
            </w:r>
          </w:p>
        </w:tc>
        <w:tc>
          <w:tcPr>
            <w:tcW w:w="1089" w:type="dxa"/>
            <w:hideMark/>
          </w:tcPr>
          <w:p w:rsidR="001234B1" w:rsidRDefault="001234B1" w:rsidP="00323AB1">
            <w:pPr>
              <w:pStyle w:val="NormalWeb"/>
              <w:jc w:val="center"/>
            </w:pPr>
            <w:r>
              <w:t>3B</w:t>
            </w:r>
          </w:p>
        </w:tc>
        <w:tc>
          <w:tcPr>
            <w:tcW w:w="1089" w:type="dxa"/>
            <w:hideMark/>
          </w:tcPr>
          <w:p w:rsidR="001234B1" w:rsidRDefault="001234B1" w:rsidP="00323AB1">
            <w:pPr>
              <w:pStyle w:val="NormalWeb"/>
              <w:jc w:val="center"/>
            </w:pPr>
            <w:r>
              <w:t>2B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P1.7,30</w:t>
            </w:r>
          </w:p>
        </w:tc>
        <w:tc>
          <w:tcPr>
            <w:tcW w:w="1088"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pStyle w:val="NormalWeb"/>
              <w:jc w:val="center"/>
              <w:rPr>
                <w:sz w:val="24"/>
                <w:szCs w:val="24"/>
              </w:rPr>
            </w:pPr>
            <w:r>
              <w:t>1B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543BFE" w:rsidTr="00770075">
        <w:tc>
          <w:tcPr>
            <w:tcW w:w="0" w:type="auto"/>
            <w:hideMark/>
          </w:tcPr>
          <w:p w:rsidR="001234B1" w:rsidRDefault="001234B1">
            <w:pPr>
              <w:pStyle w:val="NormalWeb"/>
              <w:rPr>
                <w:sz w:val="24"/>
                <w:szCs w:val="24"/>
              </w:rPr>
            </w:pPr>
            <w:r>
              <w:t>P1.7-2,4</w:t>
            </w:r>
          </w:p>
        </w:tc>
        <w:tc>
          <w:tcPr>
            <w:tcW w:w="1088" w:type="dxa"/>
            <w:hideMark/>
          </w:tcPr>
          <w:p w:rsidR="001234B1" w:rsidRDefault="001234B1" w:rsidP="00323AB1">
            <w:pPr>
              <w:pStyle w:val="NormalWeb"/>
              <w:jc w:val="center"/>
            </w:pPr>
            <w:r>
              <w:t>5B</w:t>
            </w:r>
          </w:p>
        </w:tc>
        <w:tc>
          <w:tcPr>
            <w:tcW w:w="1089" w:type="dxa"/>
            <w:hideMark/>
          </w:tcPr>
          <w:p w:rsidR="001234B1" w:rsidRDefault="001234B1" w:rsidP="00323AB1">
            <w:pPr>
              <w:pStyle w:val="NormalWeb"/>
              <w:jc w:val="center"/>
            </w:pPr>
            <w:r>
              <w:t>1B</w:t>
            </w:r>
          </w:p>
        </w:tc>
        <w:tc>
          <w:tcPr>
            <w:tcW w:w="1089" w:type="dxa"/>
            <w:hideMark/>
          </w:tcPr>
          <w:p w:rsidR="001234B1" w:rsidRDefault="001234B1" w:rsidP="00323AB1">
            <w:pPr>
              <w:pStyle w:val="NormalWeb"/>
              <w:jc w:val="center"/>
            </w:pPr>
            <w:r>
              <w:t>3B</w:t>
            </w:r>
          </w:p>
        </w:tc>
        <w:tc>
          <w:tcPr>
            <w:tcW w:w="1089" w:type="dxa"/>
            <w:hideMark/>
          </w:tcPr>
          <w:p w:rsidR="001234B1" w:rsidRDefault="001234B1" w:rsidP="00323AB1">
            <w:pPr>
              <w:pStyle w:val="NormalWeb"/>
              <w:jc w:val="center"/>
            </w:pPr>
            <w:r>
              <w:t>10B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P1.7-2,16-26</w:t>
            </w:r>
          </w:p>
        </w:tc>
        <w:tc>
          <w:tcPr>
            <w:tcW w:w="1088"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1B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543BFE" w:rsidTr="00770075">
        <w:tc>
          <w:tcPr>
            <w:tcW w:w="0" w:type="auto"/>
            <w:hideMark/>
          </w:tcPr>
          <w:p w:rsidR="001234B1" w:rsidRDefault="001234B1">
            <w:pPr>
              <w:pStyle w:val="NormalWeb"/>
              <w:rPr>
                <w:sz w:val="24"/>
                <w:szCs w:val="24"/>
              </w:rPr>
            </w:pPr>
            <w:r>
              <w:t>P1.7-11,16-26</w:t>
            </w:r>
          </w:p>
        </w:tc>
        <w:tc>
          <w:tcPr>
            <w:tcW w:w="1088"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pStyle w:val="NormalWeb"/>
              <w:jc w:val="center"/>
              <w:rPr>
                <w:sz w:val="24"/>
                <w:szCs w:val="24"/>
              </w:rPr>
            </w:pPr>
            <w:r>
              <w:t>1B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P1.7-36,14</w:t>
            </w:r>
          </w:p>
        </w:tc>
        <w:tc>
          <w:tcPr>
            <w:tcW w:w="1088"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1B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543BFE" w:rsidTr="00770075">
        <w:tc>
          <w:tcPr>
            <w:tcW w:w="0" w:type="auto"/>
            <w:hideMark/>
          </w:tcPr>
          <w:p w:rsidR="001234B1" w:rsidRDefault="001234B1">
            <w:pPr>
              <w:pStyle w:val="NormalWeb"/>
              <w:rPr>
                <w:sz w:val="24"/>
                <w:szCs w:val="24"/>
              </w:rPr>
            </w:pPr>
            <w:r>
              <w:t>P1.7-63,9</w:t>
            </w:r>
          </w:p>
        </w:tc>
        <w:tc>
          <w:tcPr>
            <w:tcW w:w="1088" w:type="dxa"/>
            <w:hideMark/>
          </w:tcPr>
          <w:p w:rsidR="001234B1" w:rsidRDefault="001234B1" w:rsidP="00323AB1">
            <w:pPr>
              <w:pStyle w:val="NormalWeb"/>
              <w:jc w:val="center"/>
            </w:pPr>
            <w:r>
              <w:t>1B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P1.12-6,13-49</w:t>
            </w:r>
          </w:p>
        </w:tc>
        <w:tc>
          <w:tcPr>
            <w:tcW w:w="1088"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1B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543BFE" w:rsidTr="00770075">
        <w:tc>
          <w:tcPr>
            <w:tcW w:w="0" w:type="auto"/>
            <w:hideMark/>
          </w:tcPr>
          <w:p w:rsidR="001234B1" w:rsidRDefault="001234B1">
            <w:pPr>
              <w:pStyle w:val="NormalWeb"/>
              <w:rPr>
                <w:sz w:val="24"/>
                <w:szCs w:val="24"/>
              </w:rPr>
            </w:pPr>
            <w:r>
              <w:t>P1.17-6,23</w:t>
            </w:r>
          </w:p>
        </w:tc>
        <w:tc>
          <w:tcPr>
            <w:tcW w:w="1088"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1B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P1.18-1,30-3</w:t>
            </w:r>
          </w:p>
        </w:tc>
        <w:tc>
          <w:tcPr>
            <w:tcW w:w="1088"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pStyle w:val="NormalWeb"/>
              <w:jc w:val="center"/>
              <w:rPr>
                <w:sz w:val="24"/>
                <w:szCs w:val="24"/>
              </w:rPr>
            </w:pPr>
            <w:r>
              <w:t>1B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543BFE" w:rsidTr="00770075">
        <w:tc>
          <w:tcPr>
            <w:tcW w:w="0" w:type="auto"/>
            <w:hideMark/>
          </w:tcPr>
          <w:p w:rsidR="001234B1" w:rsidRDefault="001234B1">
            <w:pPr>
              <w:pStyle w:val="NormalWeb"/>
              <w:rPr>
                <w:sz w:val="24"/>
                <w:szCs w:val="24"/>
              </w:rPr>
            </w:pPr>
            <w:r>
              <w:t>P1.18-1,30-6</w:t>
            </w:r>
          </w:p>
        </w:tc>
        <w:tc>
          <w:tcPr>
            <w:tcW w:w="1088"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pStyle w:val="NormalWeb"/>
              <w:jc w:val="center"/>
              <w:rPr>
                <w:sz w:val="24"/>
                <w:szCs w:val="24"/>
              </w:rPr>
            </w:pPr>
            <w:r>
              <w:t>1B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P1.18-1,34</w:t>
            </w:r>
          </w:p>
        </w:tc>
        <w:tc>
          <w:tcPr>
            <w:tcW w:w="1088"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1B, 1W</w:t>
            </w:r>
          </w:p>
        </w:tc>
        <w:tc>
          <w:tcPr>
            <w:tcW w:w="1089" w:type="dxa"/>
            <w:hideMark/>
          </w:tcPr>
          <w:p w:rsidR="001234B1" w:rsidRDefault="001234B1" w:rsidP="00323AB1">
            <w:pPr>
              <w:pStyle w:val="NormalWeb"/>
              <w:jc w:val="center"/>
            </w:pPr>
            <w:r>
              <w:t>2B</w:t>
            </w:r>
          </w:p>
        </w:tc>
        <w:tc>
          <w:tcPr>
            <w:tcW w:w="1089" w:type="dxa"/>
            <w:hideMark/>
          </w:tcPr>
          <w:p w:rsidR="001234B1" w:rsidRDefault="001234B1" w:rsidP="00323AB1">
            <w:pPr>
              <w:pStyle w:val="NormalWeb"/>
              <w:jc w:val="center"/>
            </w:pPr>
            <w:r>
              <w:t>1B</w:t>
            </w:r>
          </w:p>
        </w:tc>
        <w:tc>
          <w:tcPr>
            <w:tcW w:w="1089" w:type="dxa"/>
            <w:hideMark/>
          </w:tcPr>
          <w:p w:rsidR="001234B1" w:rsidRDefault="001234B1" w:rsidP="00323AB1">
            <w:pPr>
              <w:pStyle w:val="NormalWeb"/>
              <w:jc w:val="center"/>
            </w:pPr>
            <w:r>
              <w:t>1B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543BFE" w:rsidTr="00770075">
        <w:tc>
          <w:tcPr>
            <w:tcW w:w="0" w:type="auto"/>
            <w:hideMark/>
          </w:tcPr>
          <w:p w:rsidR="001234B1" w:rsidRDefault="001234B1">
            <w:pPr>
              <w:pStyle w:val="NormalWeb"/>
              <w:rPr>
                <w:sz w:val="24"/>
                <w:szCs w:val="24"/>
              </w:rPr>
            </w:pPr>
            <w:r>
              <w:t>P1.18-10,43</w:t>
            </w:r>
          </w:p>
        </w:tc>
        <w:tc>
          <w:tcPr>
            <w:tcW w:w="1088"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pStyle w:val="NormalWeb"/>
              <w:jc w:val="center"/>
              <w:rPr>
                <w:sz w:val="24"/>
                <w:szCs w:val="24"/>
              </w:rPr>
            </w:pPr>
            <w:r>
              <w:t>1W</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P1.19,15</w:t>
            </w:r>
          </w:p>
        </w:tc>
        <w:tc>
          <w:tcPr>
            <w:tcW w:w="1088" w:type="dxa"/>
            <w:hideMark/>
          </w:tcPr>
          <w:p w:rsidR="001234B1" w:rsidRDefault="001234B1" w:rsidP="00323AB1">
            <w:pPr>
              <w:pStyle w:val="NormalWeb"/>
              <w:jc w:val="center"/>
            </w:pPr>
            <w:r>
              <w:t>1B</w:t>
            </w:r>
          </w:p>
        </w:tc>
        <w:tc>
          <w:tcPr>
            <w:tcW w:w="1089" w:type="dxa"/>
            <w:hideMark/>
          </w:tcPr>
          <w:p w:rsidR="001234B1" w:rsidRDefault="001234B1" w:rsidP="00323AB1">
            <w:pPr>
              <w:pStyle w:val="NormalWeb"/>
              <w:jc w:val="center"/>
            </w:pPr>
            <w:r>
              <w:t>2B</w:t>
            </w:r>
          </w:p>
        </w:tc>
        <w:tc>
          <w:tcPr>
            <w:tcW w:w="1089" w:type="dxa"/>
            <w:hideMark/>
          </w:tcPr>
          <w:p w:rsidR="001234B1" w:rsidRDefault="001234B1" w:rsidP="00323AB1">
            <w:pPr>
              <w:pStyle w:val="NormalWeb"/>
              <w:jc w:val="center"/>
            </w:pPr>
            <w:r>
              <w:t>1B</w:t>
            </w:r>
          </w:p>
        </w:tc>
        <w:tc>
          <w:tcPr>
            <w:tcW w:w="1089" w:type="dxa"/>
            <w:hideMark/>
          </w:tcPr>
          <w:p w:rsidR="001234B1" w:rsidRDefault="001234B1" w:rsidP="00323AB1">
            <w:pPr>
              <w:pStyle w:val="NormalWeb"/>
              <w:jc w:val="center"/>
            </w:pPr>
            <w:r>
              <w:t>2B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pStyle w:val="NormalWeb"/>
              <w:jc w:val="center"/>
              <w:rPr>
                <w:sz w:val="24"/>
                <w:szCs w:val="24"/>
              </w:rPr>
            </w:pPr>
            <w:r>
              <w:t>1B</w:t>
            </w:r>
          </w:p>
        </w:tc>
        <w:tc>
          <w:tcPr>
            <w:tcW w:w="1089" w:type="dxa"/>
            <w:hideMark/>
          </w:tcPr>
          <w:p w:rsidR="001234B1" w:rsidRDefault="001234B1" w:rsidP="00323AB1">
            <w:pPr>
              <w:jc w:val="center"/>
            </w:pPr>
          </w:p>
        </w:tc>
      </w:tr>
      <w:tr w:rsidR="00543BFE" w:rsidTr="00770075">
        <w:tc>
          <w:tcPr>
            <w:tcW w:w="0" w:type="auto"/>
            <w:hideMark/>
          </w:tcPr>
          <w:p w:rsidR="001234B1" w:rsidRDefault="001234B1">
            <w:pPr>
              <w:pStyle w:val="NormalWeb"/>
              <w:rPr>
                <w:sz w:val="24"/>
                <w:szCs w:val="24"/>
              </w:rPr>
            </w:pPr>
            <w:r>
              <w:t>P1.19-1,15</w:t>
            </w:r>
          </w:p>
        </w:tc>
        <w:tc>
          <w:tcPr>
            <w:tcW w:w="1088"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2B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P1.19-1,15-11</w:t>
            </w:r>
          </w:p>
        </w:tc>
        <w:tc>
          <w:tcPr>
            <w:tcW w:w="1088"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pStyle w:val="NormalWeb"/>
              <w:jc w:val="center"/>
              <w:rPr>
                <w:sz w:val="24"/>
                <w:szCs w:val="24"/>
              </w:rPr>
            </w:pPr>
            <w:r>
              <w:t>1B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543BFE" w:rsidTr="00770075">
        <w:tc>
          <w:tcPr>
            <w:tcW w:w="0" w:type="auto"/>
            <w:hideMark/>
          </w:tcPr>
          <w:p w:rsidR="001234B1" w:rsidRDefault="001234B1">
            <w:pPr>
              <w:pStyle w:val="NormalWeb"/>
              <w:rPr>
                <w:sz w:val="24"/>
                <w:szCs w:val="24"/>
              </w:rPr>
            </w:pPr>
            <w:r>
              <w:t>P1.21-7,16</w:t>
            </w:r>
          </w:p>
        </w:tc>
        <w:tc>
          <w:tcPr>
            <w:tcW w:w="1088"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2E</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P1.22,14</w:t>
            </w:r>
          </w:p>
        </w:tc>
        <w:tc>
          <w:tcPr>
            <w:tcW w:w="1088" w:type="dxa"/>
            <w:hideMark/>
          </w:tcPr>
          <w:p w:rsidR="001234B1" w:rsidRDefault="001234B1" w:rsidP="00323AB1">
            <w:pPr>
              <w:pStyle w:val="NormalWeb"/>
              <w:jc w:val="center"/>
            </w:pPr>
            <w:r>
              <w:t>1B</w:t>
            </w:r>
          </w:p>
        </w:tc>
        <w:tc>
          <w:tcPr>
            <w:tcW w:w="1089" w:type="dxa"/>
            <w:hideMark/>
          </w:tcPr>
          <w:p w:rsidR="001234B1" w:rsidRDefault="001234B1" w:rsidP="00323AB1">
            <w:pPr>
              <w:pStyle w:val="NormalWeb"/>
              <w:jc w:val="center"/>
            </w:pPr>
            <w:r>
              <w:t>4B</w:t>
            </w:r>
          </w:p>
        </w:tc>
        <w:tc>
          <w:tcPr>
            <w:tcW w:w="1089" w:type="dxa"/>
            <w:hideMark/>
          </w:tcPr>
          <w:p w:rsidR="001234B1" w:rsidRDefault="001234B1" w:rsidP="00323AB1">
            <w:pPr>
              <w:pStyle w:val="NormalWeb"/>
              <w:jc w:val="center"/>
            </w:pPr>
            <w:r>
              <w:t>3B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pStyle w:val="NormalWeb"/>
              <w:jc w:val="center"/>
              <w:rPr>
                <w:sz w:val="24"/>
                <w:szCs w:val="24"/>
              </w:rPr>
            </w:pPr>
            <w:r>
              <w:t>1B</w:t>
            </w:r>
          </w:p>
        </w:tc>
      </w:tr>
      <w:tr w:rsidR="00543BFE" w:rsidTr="00770075">
        <w:tc>
          <w:tcPr>
            <w:tcW w:w="0" w:type="auto"/>
            <w:hideMark/>
          </w:tcPr>
          <w:p w:rsidR="001234B1" w:rsidRDefault="001234B1">
            <w:pPr>
              <w:pStyle w:val="NormalWeb"/>
            </w:pPr>
            <w:r>
              <w:t>P1.22,14-3</w:t>
            </w:r>
          </w:p>
        </w:tc>
        <w:tc>
          <w:tcPr>
            <w:tcW w:w="1088"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2B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1234B1"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rPr>
                <w:sz w:val="24"/>
                <w:szCs w:val="24"/>
              </w:rPr>
            </w:pPr>
            <w:r>
              <w:t>P1.22,14-6</w:t>
            </w:r>
          </w:p>
        </w:tc>
        <w:tc>
          <w:tcPr>
            <w:tcW w:w="1088"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pStyle w:val="NormalWeb"/>
              <w:jc w:val="center"/>
              <w:rPr>
                <w:sz w:val="24"/>
                <w:szCs w:val="24"/>
              </w:rPr>
            </w:pPr>
            <w:r>
              <w:t>1B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r w:rsidR="00543BFE" w:rsidTr="00770075">
        <w:tc>
          <w:tcPr>
            <w:tcW w:w="0" w:type="auto"/>
            <w:hideMark/>
          </w:tcPr>
          <w:p w:rsidR="001234B1" w:rsidRDefault="001234B1">
            <w:pPr>
              <w:pStyle w:val="NormalWeb"/>
              <w:rPr>
                <w:sz w:val="24"/>
                <w:szCs w:val="24"/>
              </w:rPr>
            </w:pPr>
            <w:r>
              <w:t>P1.22-1,14</w:t>
            </w:r>
          </w:p>
        </w:tc>
        <w:tc>
          <w:tcPr>
            <w:tcW w:w="1088" w:type="dxa"/>
            <w:hideMark/>
          </w:tcPr>
          <w:p w:rsidR="001234B1" w:rsidRDefault="001234B1" w:rsidP="00323AB1">
            <w:pPr>
              <w:jc w:val="center"/>
            </w:pPr>
          </w:p>
        </w:tc>
        <w:tc>
          <w:tcPr>
            <w:tcW w:w="1089" w:type="dxa"/>
            <w:hideMark/>
          </w:tcPr>
          <w:p w:rsidR="001234B1" w:rsidRDefault="001234B1" w:rsidP="00323AB1">
            <w:pPr>
              <w:pStyle w:val="NormalWeb"/>
              <w:jc w:val="center"/>
              <w:rPr>
                <w:sz w:val="24"/>
                <w:szCs w:val="24"/>
              </w:rPr>
            </w:pPr>
            <w:r>
              <w:t>1B</w:t>
            </w:r>
          </w:p>
        </w:tc>
        <w:tc>
          <w:tcPr>
            <w:tcW w:w="1089" w:type="dxa"/>
            <w:hideMark/>
          </w:tcPr>
          <w:p w:rsidR="001234B1" w:rsidRDefault="001234B1" w:rsidP="00323AB1">
            <w:pPr>
              <w:jc w:val="cente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c>
          <w:tcPr>
            <w:tcW w:w="1089" w:type="dxa"/>
            <w:hideMark/>
          </w:tcPr>
          <w:p w:rsidR="001234B1" w:rsidRDefault="001234B1" w:rsidP="00323AB1">
            <w:pPr>
              <w:jc w:val="center"/>
              <w:rPr>
                <w:rFonts w:eastAsia="Times New Roman"/>
                <w:sz w:val="20"/>
                <w:szCs w:val="20"/>
              </w:rPr>
            </w:pPr>
          </w:p>
        </w:tc>
      </w:tr>
    </w:tbl>
    <w:p w:rsidR="00080924" w:rsidRDefault="00080924" w:rsidP="00080924">
      <w:pPr>
        <w:pStyle w:val="CDIFigures"/>
        <w:sectPr w:rsidR="00080924" w:rsidSect="00A30C37">
          <w:pgSz w:w="11906" w:h="16838"/>
          <w:pgMar w:top="720" w:right="720" w:bottom="1134" w:left="720" w:header="709" w:footer="284" w:gutter="0"/>
          <w:cols w:space="708"/>
          <w:titlePg/>
          <w:docGrid w:linePitch="360"/>
        </w:sectPr>
      </w:pPr>
    </w:p>
    <w:p w:rsidR="001234B1" w:rsidRDefault="001234B1" w:rsidP="00AE5DE1">
      <w:pPr>
        <w:pStyle w:val="CDIFigures"/>
        <w:rPr>
          <w:sz w:val="24"/>
          <w:szCs w:val="24"/>
        </w:rPr>
      </w:pPr>
      <w:r>
        <w:lastRenderedPageBreak/>
        <w:t xml:space="preserve">Figure 4: Number of </w:t>
      </w:r>
      <w:proofErr w:type="spellStart"/>
      <w:r w:rsidRPr="00190C6D">
        <w:rPr>
          <w:i/>
          <w:lang w:val="en-US"/>
        </w:rPr>
        <w:t>porA</w:t>
      </w:r>
      <w:proofErr w:type="spellEnd"/>
      <w:r>
        <w:t xml:space="preserve"> genotypes for </w:t>
      </w:r>
      <w:proofErr w:type="spellStart"/>
      <w:r>
        <w:t>serogroup</w:t>
      </w:r>
      <w:proofErr w:type="spellEnd"/>
      <w:r>
        <w:t xml:space="preserve"> B in laboratory-confirmed cases of invasive meningococcal disease Australia, 2018</w:t>
      </w:r>
    </w:p>
    <w:p w:rsidR="001234B1" w:rsidRDefault="001234B1">
      <w:pPr>
        <w:pStyle w:val="NormalWeb"/>
      </w:pPr>
      <w:r>
        <w:rPr>
          <w:noProof/>
        </w:rPr>
        <w:drawing>
          <wp:inline distT="0" distB="0" distL="0" distR="0">
            <wp:extent cx="8881890" cy="5797308"/>
            <wp:effectExtent l="0" t="0" r="0" b="0"/>
            <wp:docPr id="4" name="Picture 4" descr="This Figure shows the number range and frequency of the PorA genotypes for cases of laboratory confirmed invasive meningococcal disease (IMD), Australia, 2018, where genotype data were available. The predominant PorA genotype for serogroup B IMD cases was P1.7-2,4, and this is similar to previous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Figure shows the number range and frequency of the PorA genotypes for cases of laboratory confirmed invasive meningococcal disease (IMD), Australia, 2018, where genotype data were available. The predominant PorA genotype for serogroup B IMD cases was P1.7-2,4, and this is similar to previous years."/>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881890" cy="5797308"/>
                    </a:xfrm>
                    <a:prstGeom prst="rect">
                      <a:avLst/>
                    </a:prstGeom>
                  </pic:spPr>
                </pic:pic>
              </a:graphicData>
            </a:graphic>
          </wp:inline>
        </w:drawing>
      </w:r>
    </w:p>
    <w:p w:rsidR="00A4000F" w:rsidRDefault="00A4000F" w:rsidP="00A4000F">
      <w:pPr>
        <w:pStyle w:val="CDIFigures"/>
        <w:sectPr w:rsidR="00A4000F" w:rsidSect="00AE5DE1">
          <w:pgSz w:w="16838" w:h="11906" w:orient="landscape"/>
          <w:pgMar w:top="720" w:right="720" w:bottom="720" w:left="1134" w:header="709" w:footer="284" w:gutter="0"/>
          <w:cols w:space="708"/>
          <w:titlePg/>
          <w:docGrid w:linePitch="360"/>
        </w:sectPr>
      </w:pPr>
    </w:p>
    <w:p w:rsidR="001234B1" w:rsidRDefault="001234B1" w:rsidP="00A4000F">
      <w:pPr>
        <w:pStyle w:val="CDIFigures"/>
      </w:pPr>
      <w:r>
        <w:lastRenderedPageBreak/>
        <w:t xml:space="preserve">Table 7: Laboratory-confirmed cases of </w:t>
      </w:r>
      <w:proofErr w:type="spellStart"/>
      <w:r>
        <w:t>serogroup</w:t>
      </w:r>
      <w:proofErr w:type="spellEnd"/>
      <w:r>
        <w:t xml:space="preserve"> W invasive meningococcal disease, Australia, 2018, by sequence type (ST)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Laboratory confirmed cases of serogroup W invasive meningococcal disease, Australia, 2018, by sequence type (ST)&#10;Table 7 shows the sequence types and numbers of each for serogroup W invasive meningococcal disease (IMD), grouped by genotype, in 2018. The most frequent genotype and sequence type involved in IMD, in 2018, was P1.5,2:ST11, the same as the hypervirulent strain seen in South America, and the UK from 2012.&#10;"/>
      </w:tblPr>
      <w:tblGrid>
        <w:gridCol w:w="1548"/>
        <w:gridCol w:w="1255"/>
        <w:gridCol w:w="1256"/>
        <w:gridCol w:w="1256"/>
        <w:gridCol w:w="1255"/>
        <w:gridCol w:w="1256"/>
        <w:gridCol w:w="1256"/>
        <w:gridCol w:w="1256"/>
      </w:tblGrid>
      <w:tr w:rsidR="009254DE" w:rsidRPr="009254DE" w:rsidTr="009254D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rsidR="001234B1" w:rsidRPr="009254DE" w:rsidRDefault="001234B1">
            <w:pPr>
              <w:pStyle w:val="NormalWeb"/>
              <w:rPr>
                <w:color w:val="FFFFFF" w:themeColor="background1"/>
              </w:rPr>
            </w:pPr>
            <w:r w:rsidRPr="009254DE">
              <w:rPr>
                <w:color w:val="FFFFFF" w:themeColor="background1"/>
              </w:rPr>
              <w:t>Sequence Type</w:t>
            </w:r>
          </w:p>
        </w:tc>
        <w:tc>
          <w:tcPr>
            <w:tcW w:w="8790" w:type="dxa"/>
            <w:gridSpan w:val="7"/>
            <w:hideMark/>
          </w:tcPr>
          <w:p w:rsidR="001234B1" w:rsidRPr="009254DE" w:rsidRDefault="001234B1" w:rsidP="009254DE">
            <w:pPr>
              <w:pStyle w:val="NormalWeb"/>
              <w:jc w:val="center"/>
              <w:rPr>
                <w:color w:val="FFFFFF" w:themeColor="background1"/>
              </w:rPr>
            </w:pPr>
            <w:r w:rsidRPr="009254DE">
              <w:rPr>
                <w:color w:val="FFFFFF" w:themeColor="background1"/>
              </w:rPr>
              <w:t>W Genotype</w:t>
            </w:r>
          </w:p>
        </w:tc>
      </w:tr>
      <w:tr w:rsidR="009254DE" w:rsidRPr="009254DE" w:rsidTr="009254DE">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rsidR="001234B1" w:rsidRPr="009254DE" w:rsidRDefault="001234B1">
            <w:pPr>
              <w:rPr>
                <w:color w:val="FFFFFF" w:themeColor="background1"/>
                <w:sz w:val="24"/>
                <w:szCs w:val="24"/>
              </w:rPr>
            </w:pPr>
          </w:p>
        </w:tc>
        <w:tc>
          <w:tcPr>
            <w:tcW w:w="1255" w:type="dxa"/>
            <w:hideMark/>
          </w:tcPr>
          <w:p w:rsidR="001234B1" w:rsidRPr="009254DE" w:rsidRDefault="001234B1" w:rsidP="009254DE">
            <w:pPr>
              <w:pStyle w:val="NormalWeb"/>
              <w:jc w:val="center"/>
              <w:rPr>
                <w:color w:val="FFFFFF" w:themeColor="background1"/>
              </w:rPr>
            </w:pPr>
            <w:r w:rsidRPr="009254DE">
              <w:rPr>
                <w:color w:val="FFFFFF" w:themeColor="background1"/>
              </w:rPr>
              <w:t>P1.5,2</w:t>
            </w:r>
          </w:p>
        </w:tc>
        <w:tc>
          <w:tcPr>
            <w:tcW w:w="1256" w:type="dxa"/>
            <w:hideMark/>
          </w:tcPr>
          <w:p w:rsidR="001234B1" w:rsidRPr="009254DE" w:rsidRDefault="001234B1" w:rsidP="009254DE">
            <w:pPr>
              <w:pStyle w:val="NormalWeb"/>
              <w:jc w:val="center"/>
              <w:rPr>
                <w:color w:val="FFFFFF" w:themeColor="background1"/>
              </w:rPr>
            </w:pPr>
            <w:r w:rsidRPr="009254DE">
              <w:rPr>
                <w:color w:val="FFFFFF" w:themeColor="background1"/>
              </w:rPr>
              <w:t>P1.5,new</w:t>
            </w:r>
          </w:p>
        </w:tc>
        <w:tc>
          <w:tcPr>
            <w:tcW w:w="1256" w:type="dxa"/>
            <w:hideMark/>
          </w:tcPr>
          <w:p w:rsidR="001234B1" w:rsidRPr="009254DE" w:rsidRDefault="001234B1" w:rsidP="009254DE">
            <w:pPr>
              <w:pStyle w:val="NormalWeb"/>
              <w:jc w:val="center"/>
              <w:rPr>
                <w:color w:val="FFFFFF" w:themeColor="background1"/>
              </w:rPr>
            </w:pPr>
            <w:r w:rsidRPr="009254DE">
              <w:rPr>
                <w:color w:val="FFFFFF" w:themeColor="background1"/>
              </w:rPr>
              <w:t>P1.5-1,10-1</w:t>
            </w:r>
          </w:p>
        </w:tc>
        <w:tc>
          <w:tcPr>
            <w:tcW w:w="1255" w:type="dxa"/>
            <w:hideMark/>
          </w:tcPr>
          <w:p w:rsidR="001234B1" w:rsidRPr="009254DE" w:rsidRDefault="001234B1" w:rsidP="009254DE">
            <w:pPr>
              <w:pStyle w:val="NormalWeb"/>
              <w:jc w:val="center"/>
              <w:rPr>
                <w:color w:val="FFFFFF" w:themeColor="background1"/>
              </w:rPr>
            </w:pPr>
            <w:r w:rsidRPr="009254DE">
              <w:rPr>
                <w:color w:val="FFFFFF" w:themeColor="background1"/>
              </w:rPr>
              <w:t>P1.5-1,10-4</w:t>
            </w:r>
          </w:p>
        </w:tc>
        <w:tc>
          <w:tcPr>
            <w:tcW w:w="1256" w:type="dxa"/>
            <w:hideMark/>
          </w:tcPr>
          <w:p w:rsidR="001234B1" w:rsidRPr="009254DE" w:rsidRDefault="001234B1" w:rsidP="009254DE">
            <w:pPr>
              <w:pStyle w:val="NormalWeb"/>
              <w:jc w:val="center"/>
              <w:rPr>
                <w:color w:val="FFFFFF" w:themeColor="background1"/>
              </w:rPr>
            </w:pPr>
            <w:r w:rsidRPr="009254DE">
              <w:rPr>
                <w:color w:val="FFFFFF" w:themeColor="background1"/>
              </w:rPr>
              <w:t>P1.18-1,34</w:t>
            </w:r>
          </w:p>
        </w:tc>
        <w:tc>
          <w:tcPr>
            <w:tcW w:w="1256" w:type="dxa"/>
            <w:hideMark/>
          </w:tcPr>
          <w:p w:rsidR="001234B1" w:rsidRPr="009254DE" w:rsidRDefault="001234B1" w:rsidP="009254DE">
            <w:pPr>
              <w:pStyle w:val="NormalWeb"/>
              <w:jc w:val="center"/>
              <w:rPr>
                <w:color w:val="FFFFFF" w:themeColor="background1"/>
              </w:rPr>
            </w:pPr>
            <w:r w:rsidRPr="009254DE">
              <w:rPr>
                <w:color w:val="FFFFFF" w:themeColor="background1"/>
              </w:rPr>
              <w:t>P1.18-10,43</w:t>
            </w:r>
          </w:p>
        </w:tc>
        <w:tc>
          <w:tcPr>
            <w:tcW w:w="1256" w:type="dxa"/>
            <w:hideMark/>
          </w:tcPr>
          <w:p w:rsidR="001234B1" w:rsidRPr="009254DE" w:rsidRDefault="001234B1" w:rsidP="009254DE">
            <w:pPr>
              <w:pStyle w:val="NormalWeb"/>
              <w:jc w:val="center"/>
              <w:rPr>
                <w:color w:val="FFFFFF" w:themeColor="background1"/>
              </w:rPr>
            </w:pPr>
            <w:r w:rsidRPr="009254DE">
              <w:rPr>
                <w:color w:val="FFFFFF" w:themeColor="background1"/>
              </w:rPr>
              <w:t>Total</w:t>
            </w:r>
          </w:p>
        </w:tc>
      </w:tr>
      <w:tr w:rsidR="009254DE" w:rsidTr="009254DE">
        <w:tc>
          <w:tcPr>
            <w:tcW w:w="0" w:type="auto"/>
            <w:hideMark/>
          </w:tcPr>
          <w:p w:rsidR="001234B1" w:rsidRDefault="001234B1">
            <w:pPr>
              <w:pStyle w:val="NormalWeb"/>
            </w:pPr>
            <w:r>
              <w:t>ST11</w:t>
            </w:r>
          </w:p>
        </w:tc>
        <w:tc>
          <w:tcPr>
            <w:tcW w:w="1255" w:type="dxa"/>
            <w:hideMark/>
          </w:tcPr>
          <w:p w:rsidR="001234B1" w:rsidRDefault="001234B1" w:rsidP="009254DE">
            <w:pPr>
              <w:pStyle w:val="NormalWeb"/>
              <w:jc w:val="center"/>
            </w:pPr>
            <w:r>
              <w:t>29</w:t>
            </w:r>
          </w:p>
        </w:tc>
        <w:tc>
          <w:tcPr>
            <w:tcW w:w="1256" w:type="dxa"/>
            <w:hideMark/>
          </w:tcPr>
          <w:p w:rsidR="001234B1" w:rsidRDefault="001234B1" w:rsidP="009254DE">
            <w:pPr>
              <w:pStyle w:val="NormalWeb"/>
              <w:jc w:val="center"/>
            </w:pPr>
            <w:r>
              <w:t>1</w:t>
            </w:r>
          </w:p>
        </w:tc>
        <w:tc>
          <w:tcPr>
            <w:tcW w:w="1256" w:type="dxa"/>
            <w:hideMark/>
          </w:tcPr>
          <w:p w:rsidR="001234B1" w:rsidRDefault="001234B1" w:rsidP="009254DE">
            <w:pPr>
              <w:pStyle w:val="NormalWeb"/>
              <w:jc w:val="center"/>
            </w:pPr>
            <w:r>
              <w:t>0</w:t>
            </w:r>
          </w:p>
        </w:tc>
        <w:tc>
          <w:tcPr>
            <w:tcW w:w="1255" w:type="dxa"/>
            <w:hideMark/>
          </w:tcPr>
          <w:p w:rsidR="001234B1" w:rsidRDefault="001234B1" w:rsidP="009254DE">
            <w:pPr>
              <w:pStyle w:val="NormalWeb"/>
              <w:jc w:val="center"/>
            </w:pPr>
            <w:r>
              <w:t>3</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33</w:t>
            </w:r>
          </w:p>
        </w:tc>
      </w:tr>
      <w:tr w:rsidR="001234B1" w:rsidTr="009254DE">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ST574</w:t>
            </w:r>
          </w:p>
        </w:tc>
        <w:tc>
          <w:tcPr>
            <w:tcW w:w="1255" w:type="dxa"/>
            <w:hideMark/>
          </w:tcPr>
          <w:p w:rsidR="001234B1" w:rsidRDefault="001234B1" w:rsidP="009254DE">
            <w:pPr>
              <w:pStyle w:val="NormalWeb"/>
              <w:jc w:val="center"/>
            </w:pPr>
            <w:r>
              <w:t>1</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5"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1</w:t>
            </w:r>
          </w:p>
        </w:tc>
      </w:tr>
      <w:tr w:rsidR="009254DE" w:rsidTr="009254DE">
        <w:tc>
          <w:tcPr>
            <w:tcW w:w="0" w:type="auto"/>
            <w:hideMark/>
          </w:tcPr>
          <w:p w:rsidR="001234B1" w:rsidRDefault="001234B1">
            <w:pPr>
              <w:pStyle w:val="NormalWeb"/>
            </w:pPr>
            <w:r>
              <w:t>ST1158</w:t>
            </w:r>
          </w:p>
        </w:tc>
        <w:tc>
          <w:tcPr>
            <w:tcW w:w="1255"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5"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1</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1</w:t>
            </w:r>
          </w:p>
        </w:tc>
      </w:tr>
      <w:tr w:rsidR="001234B1" w:rsidTr="009254DE">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ST1287</w:t>
            </w:r>
          </w:p>
        </w:tc>
        <w:tc>
          <w:tcPr>
            <w:tcW w:w="1255" w:type="dxa"/>
            <w:hideMark/>
          </w:tcPr>
          <w:p w:rsidR="001234B1" w:rsidRDefault="001234B1" w:rsidP="009254DE">
            <w:pPr>
              <w:pStyle w:val="NormalWeb"/>
              <w:jc w:val="center"/>
            </w:pPr>
            <w:r>
              <w:t>9</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5"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9</w:t>
            </w:r>
          </w:p>
        </w:tc>
      </w:tr>
      <w:tr w:rsidR="009254DE" w:rsidTr="009254DE">
        <w:tc>
          <w:tcPr>
            <w:tcW w:w="0" w:type="auto"/>
            <w:hideMark/>
          </w:tcPr>
          <w:p w:rsidR="001234B1" w:rsidRDefault="001234B1">
            <w:pPr>
              <w:pStyle w:val="NormalWeb"/>
            </w:pPr>
            <w:r>
              <w:t>ST1655</w:t>
            </w:r>
          </w:p>
        </w:tc>
        <w:tc>
          <w:tcPr>
            <w:tcW w:w="1255"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1</w:t>
            </w:r>
          </w:p>
        </w:tc>
        <w:tc>
          <w:tcPr>
            <w:tcW w:w="1255"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1</w:t>
            </w:r>
          </w:p>
        </w:tc>
      </w:tr>
      <w:tr w:rsidR="001234B1" w:rsidTr="009254DE">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ST2780</w:t>
            </w:r>
          </w:p>
        </w:tc>
        <w:tc>
          <w:tcPr>
            <w:tcW w:w="1255" w:type="dxa"/>
            <w:hideMark/>
          </w:tcPr>
          <w:p w:rsidR="001234B1" w:rsidRDefault="001234B1" w:rsidP="009254DE">
            <w:pPr>
              <w:pStyle w:val="NormalWeb"/>
              <w:jc w:val="center"/>
            </w:pPr>
            <w:r>
              <w:t>1</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5"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1</w:t>
            </w:r>
          </w:p>
        </w:tc>
      </w:tr>
      <w:tr w:rsidR="009254DE" w:rsidTr="009254DE">
        <w:tc>
          <w:tcPr>
            <w:tcW w:w="0" w:type="auto"/>
            <w:hideMark/>
          </w:tcPr>
          <w:p w:rsidR="001234B1" w:rsidRDefault="001234B1">
            <w:pPr>
              <w:pStyle w:val="NormalWeb"/>
            </w:pPr>
            <w:r>
              <w:t>ST12351</w:t>
            </w:r>
          </w:p>
        </w:tc>
        <w:tc>
          <w:tcPr>
            <w:tcW w:w="1255" w:type="dxa"/>
            <w:hideMark/>
          </w:tcPr>
          <w:p w:rsidR="001234B1" w:rsidRDefault="001234B1" w:rsidP="009254DE">
            <w:pPr>
              <w:pStyle w:val="NormalWeb"/>
              <w:jc w:val="center"/>
            </w:pPr>
            <w:r>
              <w:t>16</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5"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1</w:t>
            </w:r>
          </w:p>
        </w:tc>
        <w:tc>
          <w:tcPr>
            <w:tcW w:w="1256" w:type="dxa"/>
            <w:hideMark/>
          </w:tcPr>
          <w:p w:rsidR="001234B1" w:rsidRDefault="001234B1" w:rsidP="009254DE">
            <w:pPr>
              <w:pStyle w:val="NormalWeb"/>
              <w:jc w:val="center"/>
            </w:pPr>
            <w:r>
              <w:t>17</w:t>
            </w:r>
          </w:p>
        </w:tc>
      </w:tr>
      <w:tr w:rsidR="001234B1" w:rsidTr="009254DE">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ST13135</w:t>
            </w:r>
          </w:p>
        </w:tc>
        <w:tc>
          <w:tcPr>
            <w:tcW w:w="1255" w:type="dxa"/>
            <w:hideMark/>
          </w:tcPr>
          <w:p w:rsidR="001234B1" w:rsidRDefault="001234B1" w:rsidP="009254DE">
            <w:pPr>
              <w:pStyle w:val="NormalWeb"/>
              <w:jc w:val="center"/>
            </w:pPr>
            <w:r>
              <w:t>2</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5"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2</w:t>
            </w:r>
          </w:p>
        </w:tc>
      </w:tr>
      <w:tr w:rsidR="009254DE" w:rsidTr="009254DE">
        <w:tc>
          <w:tcPr>
            <w:tcW w:w="0" w:type="auto"/>
            <w:hideMark/>
          </w:tcPr>
          <w:p w:rsidR="001234B1" w:rsidRDefault="001234B1">
            <w:pPr>
              <w:pStyle w:val="NormalWeb"/>
            </w:pPr>
            <w:r>
              <w:t>Not determined</w:t>
            </w:r>
          </w:p>
        </w:tc>
        <w:tc>
          <w:tcPr>
            <w:tcW w:w="1255" w:type="dxa"/>
            <w:hideMark/>
          </w:tcPr>
          <w:p w:rsidR="001234B1" w:rsidRDefault="001234B1" w:rsidP="009254DE">
            <w:pPr>
              <w:pStyle w:val="NormalWeb"/>
              <w:jc w:val="center"/>
            </w:pPr>
            <w:r>
              <w:t>8</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5" w:type="dxa"/>
            <w:hideMark/>
          </w:tcPr>
          <w:p w:rsidR="001234B1" w:rsidRDefault="001234B1" w:rsidP="009254DE">
            <w:pPr>
              <w:pStyle w:val="NormalWeb"/>
              <w:jc w:val="center"/>
            </w:pPr>
            <w:r>
              <w:t>1</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0</w:t>
            </w:r>
          </w:p>
        </w:tc>
        <w:tc>
          <w:tcPr>
            <w:tcW w:w="1256" w:type="dxa"/>
            <w:hideMark/>
          </w:tcPr>
          <w:p w:rsidR="001234B1" w:rsidRDefault="001234B1" w:rsidP="009254DE">
            <w:pPr>
              <w:pStyle w:val="NormalWeb"/>
              <w:jc w:val="center"/>
            </w:pPr>
            <w:r>
              <w:t>9</w:t>
            </w:r>
          </w:p>
        </w:tc>
      </w:tr>
      <w:tr w:rsidR="005F29A9" w:rsidRPr="009254DE" w:rsidTr="009254DE">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1234B1" w:rsidRPr="009254DE" w:rsidRDefault="001234B1">
            <w:pPr>
              <w:pStyle w:val="NormalWeb"/>
              <w:rPr>
                <w:b/>
              </w:rPr>
            </w:pPr>
            <w:r w:rsidRPr="009254DE">
              <w:rPr>
                <w:b/>
              </w:rPr>
              <w:t>Total</w:t>
            </w:r>
          </w:p>
        </w:tc>
        <w:tc>
          <w:tcPr>
            <w:tcW w:w="1255" w:type="dxa"/>
            <w:shd w:val="clear" w:color="auto" w:fill="FDE9D9" w:themeFill="accent6" w:themeFillTint="33"/>
            <w:hideMark/>
          </w:tcPr>
          <w:p w:rsidR="001234B1" w:rsidRPr="009254DE" w:rsidRDefault="001234B1" w:rsidP="009254DE">
            <w:pPr>
              <w:pStyle w:val="NormalWeb"/>
              <w:jc w:val="center"/>
              <w:rPr>
                <w:b/>
              </w:rPr>
            </w:pPr>
            <w:r w:rsidRPr="009254DE">
              <w:rPr>
                <w:b/>
              </w:rPr>
              <w:t>66</w:t>
            </w:r>
          </w:p>
        </w:tc>
        <w:tc>
          <w:tcPr>
            <w:tcW w:w="1256" w:type="dxa"/>
            <w:shd w:val="clear" w:color="auto" w:fill="FDE9D9" w:themeFill="accent6" w:themeFillTint="33"/>
            <w:hideMark/>
          </w:tcPr>
          <w:p w:rsidR="001234B1" w:rsidRPr="009254DE" w:rsidRDefault="001234B1" w:rsidP="009254DE">
            <w:pPr>
              <w:pStyle w:val="NormalWeb"/>
              <w:jc w:val="center"/>
              <w:rPr>
                <w:b/>
              </w:rPr>
            </w:pPr>
            <w:r w:rsidRPr="009254DE">
              <w:rPr>
                <w:b/>
              </w:rPr>
              <w:t>1</w:t>
            </w:r>
          </w:p>
        </w:tc>
        <w:tc>
          <w:tcPr>
            <w:tcW w:w="1256" w:type="dxa"/>
            <w:shd w:val="clear" w:color="auto" w:fill="FDE9D9" w:themeFill="accent6" w:themeFillTint="33"/>
            <w:hideMark/>
          </w:tcPr>
          <w:p w:rsidR="001234B1" w:rsidRPr="009254DE" w:rsidRDefault="001234B1" w:rsidP="009254DE">
            <w:pPr>
              <w:pStyle w:val="NormalWeb"/>
              <w:jc w:val="center"/>
              <w:rPr>
                <w:b/>
              </w:rPr>
            </w:pPr>
            <w:r w:rsidRPr="009254DE">
              <w:rPr>
                <w:b/>
              </w:rPr>
              <w:t>1</w:t>
            </w:r>
          </w:p>
        </w:tc>
        <w:tc>
          <w:tcPr>
            <w:tcW w:w="1255" w:type="dxa"/>
            <w:shd w:val="clear" w:color="auto" w:fill="FDE9D9" w:themeFill="accent6" w:themeFillTint="33"/>
            <w:hideMark/>
          </w:tcPr>
          <w:p w:rsidR="001234B1" w:rsidRPr="009254DE" w:rsidRDefault="001234B1" w:rsidP="009254DE">
            <w:pPr>
              <w:pStyle w:val="NormalWeb"/>
              <w:jc w:val="center"/>
              <w:rPr>
                <w:b/>
              </w:rPr>
            </w:pPr>
            <w:r w:rsidRPr="009254DE">
              <w:rPr>
                <w:b/>
              </w:rPr>
              <w:t>4</w:t>
            </w:r>
          </w:p>
        </w:tc>
        <w:tc>
          <w:tcPr>
            <w:tcW w:w="1256" w:type="dxa"/>
            <w:shd w:val="clear" w:color="auto" w:fill="FDE9D9" w:themeFill="accent6" w:themeFillTint="33"/>
            <w:hideMark/>
          </w:tcPr>
          <w:p w:rsidR="001234B1" w:rsidRPr="009254DE" w:rsidRDefault="001234B1" w:rsidP="009254DE">
            <w:pPr>
              <w:pStyle w:val="NormalWeb"/>
              <w:jc w:val="center"/>
              <w:rPr>
                <w:b/>
              </w:rPr>
            </w:pPr>
            <w:r w:rsidRPr="009254DE">
              <w:rPr>
                <w:b/>
              </w:rPr>
              <w:t>1</w:t>
            </w:r>
          </w:p>
        </w:tc>
        <w:tc>
          <w:tcPr>
            <w:tcW w:w="1256" w:type="dxa"/>
            <w:shd w:val="clear" w:color="auto" w:fill="FDE9D9" w:themeFill="accent6" w:themeFillTint="33"/>
            <w:hideMark/>
          </w:tcPr>
          <w:p w:rsidR="001234B1" w:rsidRPr="009254DE" w:rsidRDefault="001234B1" w:rsidP="009254DE">
            <w:pPr>
              <w:pStyle w:val="NormalWeb"/>
              <w:jc w:val="center"/>
              <w:rPr>
                <w:b/>
              </w:rPr>
            </w:pPr>
            <w:r w:rsidRPr="009254DE">
              <w:rPr>
                <w:b/>
              </w:rPr>
              <w:t>1</w:t>
            </w:r>
          </w:p>
        </w:tc>
        <w:tc>
          <w:tcPr>
            <w:tcW w:w="1256" w:type="dxa"/>
            <w:shd w:val="clear" w:color="auto" w:fill="FDE9D9" w:themeFill="accent6" w:themeFillTint="33"/>
            <w:hideMark/>
          </w:tcPr>
          <w:p w:rsidR="001234B1" w:rsidRPr="009254DE" w:rsidRDefault="001234B1" w:rsidP="009254DE">
            <w:pPr>
              <w:pStyle w:val="NormalWeb"/>
              <w:jc w:val="center"/>
              <w:rPr>
                <w:b/>
              </w:rPr>
            </w:pPr>
            <w:r w:rsidRPr="009254DE">
              <w:rPr>
                <w:b/>
              </w:rPr>
              <w:t>74</w:t>
            </w:r>
          </w:p>
        </w:tc>
      </w:tr>
    </w:tbl>
    <w:p w:rsidR="00AE5DE1" w:rsidRDefault="00AE5DE1" w:rsidP="001234B1"/>
    <w:p w:rsidR="001234B1" w:rsidRDefault="001234B1" w:rsidP="001234B1">
      <w:r>
        <w:t xml:space="preserve">To better understand the molecular epidemiology of isolates associated with IMD in Australia, 163 IMD isolates were sequenced between 1 January and 31 December 2018 comprising 59% of IMD cases (163/281) notified to NNDSS for this period. Sequencing was performed by laboratories in three states: the Microbiological Diagnostic Unit, Public Health Laboratory, University of Melbourne; the Molecular Epidemiology Unit, Public Health Microbiology (MDU PHL), Forensic and Scientific Services, Queensland; and the School of Biomedical Sciences, Faculty of Health and Medical Sciences, The University of Western Australia. Phylogenetic analysis was undertaken by </w:t>
      </w:r>
      <w:proofErr w:type="spellStart"/>
      <w:r>
        <w:t>bioinformaticians</w:t>
      </w:r>
      <w:proofErr w:type="spellEnd"/>
      <w:r>
        <w:t xml:space="preserve"> and epidemiologists from the WHO Regional Reference Laboratory for Invasive Bacterial Diseases, Vaccine Preventable, based at MDU PHL (Melbourne), supported by funding from a National Health and Medical Research Partnership Grant (GNT1149991). Isolates sequenced were from Vic (n = 47, representing 89% of notified cases), Qld (44, 76%), SA (20, 59%), WA (14, 35%), NSW (14, 19%), NT (12, 100%), </w:t>
      </w:r>
      <w:proofErr w:type="gramStart"/>
      <w:r>
        <w:t>Tas</w:t>
      </w:r>
      <w:proofErr w:type="gramEnd"/>
      <w:r>
        <w:t xml:space="preserve"> (11, 100%) and ACT (1, 33%). There were 15 clonal complex (cc) groups represented amongst the 163 isolates, with three clonal complexes predominant: cc11 (63/163, 39%), cc23 (27/163, 17%) and cc41/44 (24/163, 15%). The cc11 was predominately </w:t>
      </w:r>
      <w:proofErr w:type="spellStart"/>
      <w:r>
        <w:t>serogroup</w:t>
      </w:r>
      <w:proofErr w:type="spellEnd"/>
      <w:r>
        <w:t xml:space="preserve"> W (59/63, 93%); cc23 was associated exclusively with </w:t>
      </w:r>
      <w:proofErr w:type="spellStart"/>
      <w:r>
        <w:t>serogroup</w:t>
      </w:r>
      <w:proofErr w:type="spellEnd"/>
      <w:r>
        <w:t xml:space="preserve"> Y; and cc41/44 exclusively with </w:t>
      </w:r>
      <w:proofErr w:type="spellStart"/>
      <w:r>
        <w:t>serogroup</w:t>
      </w:r>
      <w:proofErr w:type="spellEnd"/>
      <w:r>
        <w:t xml:space="preserve"> B. Amongst the </w:t>
      </w:r>
      <w:proofErr w:type="spellStart"/>
      <w:r>
        <w:t>serogroup</w:t>
      </w:r>
      <w:proofErr w:type="spellEnd"/>
      <w:r>
        <w:t xml:space="preserve"> W cc11 isolates there were five sequence types (STs): ST-11 (36/59, 61%), ST-1287 (11/59, 16%), ST-12351 (11/59, 18%), ST-2780 (1/59), and ST-13135 (1/59). A cluster of ST-1287 and ST12351 isolates was identified in 2017 as associated with IMD within remote regions of Australia. Ten isolates from among the 2018 isolates were found to be highly related to the 2017 cluster. Of the </w:t>
      </w:r>
      <w:proofErr w:type="spellStart"/>
      <w:r>
        <w:t>serogroup</w:t>
      </w:r>
      <w:proofErr w:type="spellEnd"/>
      <w:r>
        <w:t xml:space="preserve"> Y isolates, 24/30 (80%) were ST-1655. These isolates are not phylogenetically closely related. </w:t>
      </w:r>
      <w:proofErr w:type="spellStart"/>
      <w:r>
        <w:t>Serogroup</w:t>
      </w:r>
      <w:proofErr w:type="spellEnd"/>
      <w:r>
        <w:t xml:space="preserve"> B showed greatest genetic diversity, comprising isolates within 10 clonal complexes. A closely related cluster of B</w:t>
      </w:r>
      <w:proofErr w:type="gramStart"/>
      <w:r>
        <w:t>:P1.7</w:t>
      </w:r>
      <w:proofErr w:type="gramEnd"/>
      <w:r>
        <w:t xml:space="preserve">-2,4:F1-5:ST-154:cc41/44 isolates was observed in 2018. </w:t>
      </w:r>
    </w:p>
    <w:p w:rsidR="001234B1" w:rsidRPr="001234B1" w:rsidRDefault="001234B1" w:rsidP="001234B1">
      <w:pPr>
        <w:pStyle w:val="Heading2"/>
      </w:pPr>
      <w:r w:rsidRPr="001234B1">
        <w:t xml:space="preserve">Antibiotic susceptibility testing </w:t>
      </w:r>
    </w:p>
    <w:p w:rsidR="001234B1" w:rsidRDefault="001234B1" w:rsidP="001234B1">
      <w:r>
        <w:t xml:space="preserve">Isolates of </w:t>
      </w:r>
      <w:r w:rsidRPr="004C6AE3">
        <w:rPr>
          <w:rStyle w:val="Emphasis"/>
          <w:b w:val="0"/>
        </w:rPr>
        <w:t xml:space="preserve">N </w:t>
      </w:r>
      <w:proofErr w:type="spellStart"/>
      <w:r w:rsidRPr="004C6AE3">
        <w:rPr>
          <w:rStyle w:val="Emphasis"/>
          <w:b w:val="0"/>
        </w:rPr>
        <w:t>meningitidis</w:t>
      </w:r>
      <w:proofErr w:type="spellEnd"/>
      <w:r>
        <w:t xml:space="preserve"> are tested against both treatment and clearance antibiotics: penicillin, ceftriaxone, rifampicin and ciprofloxacin. </w:t>
      </w:r>
    </w:p>
    <w:p w:rsidR="00583B67" w:rsidRDefault="001234B1" w:rsidP="001234B1">
      <w:pPr>
        <w:sectPr w:rsidR="00583B67" w:rsidSect="00A30C37">
          <w:pgSz w:w="11906" w:h="16838"/>
          <w:pgMar w:top="720" w:right="720" w:bottom="1134" w:left="720" w:header="709" w:footer="284" w:gutter="0"/>
          <w:cols w:space="708"/>
          <w:titlePg/>
          <w:docGrid w:linePitch="360"/>
        </w:sectPr>
      </w:pPr>
      <w:r>
        <w:t>Penicillin susceptibility testing was possible for 76.2% (212/278) of IMD cases in 2018, and the distribution of penicillin MIC values is shown in Table 8</w:t>
      </w:r>
      <w:r>
        <w:rPr>
          <w:rStyle w:val="Strong"/>
        </w:rPr>
        <w:t>.</w:t>
      </w:r>
      <w:r>
        <w:t xml:space="preserve"> There were 4.7% (10/212) strains fully susceptible to penicillin (MIC ≤ 0.03 mg/L). Three isolates, 1.4% (3/212) were resistant to penicillin with MIC ≥ 1 mg/L, a lower proportion than reported in 2017 (5.1%) and 2016 (5.8%) as shown in Figure 5</w:t>
      </w:r>
      <w:r>
        <w:rPr>
          <w:rStyle w:val="Strong"/>
        </w:rPr>
        <w:t>.</w:t>
      </w:r>
      <w:r>
        <w:t xml:space="preserve"> Of the isolates that were resistant to penicillin with an MIC ≥ 1 mg/L, two were </w:t>
      </w:r>
      <w:proofErr w:type="spellStart"/>
      <w:r>
        <w:t>serogroup</w:t>
      </w:r>
      <w:proofErr w:type="spellEnd"/>
      <w:r>
        <w:t xml:space="preserve"> W and one was </w:t>
      </w:r>
      <w:proofErr w:type="spellStart"/>
      <w:r>
        <w:t>serogroup</w:t>
      </w:r>
      <w:proofErr w:type="spellEnd"/>
      <w:r>
        <w:t xml:space="preserve"> C; all were from Queensland. </w:t>
      </w:r>
    </w:p>
    <w:p w:rsidR="001234B1" w:rsidRDefault="001234B1" w:rsidP="00583B67">
      <w:pPr>
        <w:pStyle w:val="CDIFigures"/>
      </w:pPr>
      <w:r>
        <w:lastRenderedPageBreak/>
        <w:t>Figure 5: Proportion of penicillin susceptible, less susceptible and resistant invasive meningococcal disease isolates, Australia, by year</w:t>
      </w:r>
    </w:p>
    <w:p w:rsidR="001234B1" w:rsidRDefault="001234B1">
      <w:pPr>
        <w:rPr>
          <w:rFonts w:eastAsia="Times New Roman"/>
        </w:rPr>
      </w:pPr>
      <w:r>
        <w:rPr>
          <w:rFonts w:eastAsia="Times New Roman"/>
          <w:noProof/>
        </w:rPr>
        <w:drawing>
          <wp:inline distT="0" distB="0" distL="0" distR="0">
            <wp:extent cx="9147067" cy="5785116"/>
            <wp:effectExtent l="0" t="0" r="0" b="6350"/>
            <wp:docPr id="5" name="Picture 5" descr="Proportion of penicillin susceptible, less susceptible and resistant invasive meningococcal disease isolates, Australia, by year&#10;&#10;This figure shows the proportion of isolates of invasive meningococcal disease (IMD) cases that were susceptible, less susceptible and resistant to penicillin, each year from 1997-2018, colour coded, as a stacked bar chart graph. The susceptible category corresponds to a penicillin minimum inhibitory concentration (MIC) of ≤ 0.032 mg/L, The less susceptible category corresponds to a penicillin minimum inhibitory concentration (MIC) of 0.064-0.50 mg/L, and the resistant category corresponds to a penicillin minimum inhibitory concentration (MIC) of ≥ 0.50 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le 5 shows the total numbers of the various porA genotypes of N. meningitidis determined in laboratory confirmed cases of invasive meningococcal disease (IMD) in 201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147067" cy="5785116"/>
                    </a:xfrm>
                    <a:prstGeom prst="rect">
                      <a:avLst/>
                    </a:prstGeom>
                  </pic:spPr>
                </pic:pic>
              </a:graphicData>
            </a:graphic>
          </wp:inline>
        </w:drawing>
      </w:r>
    </w:p>
    <w:p w:rsidR="00583B67" w:rsidRDefault="00583B67" w:rsidP="00583B67">
      <w:pPr>
        <w:pStyle w:val="CDIFigures"/>
        <w:sectPr w:rsidR="00583B67" w:rsidSect="00583B67">
          <w:pgSz w:w="16838" w:h="11906" w:orient="landscape"/>
          <w:pgMar w:top="720" w:right="720" w:bottom="720" w:left="1134" w:header="709" w:footer="284" w:gutter="0"/>
          <w:cols w:space="708"/>
          <w:titlePg/>
          <w:docGrid w:linePitch="360"/>
        </w:sectPr>
      </w:pPr>
    </w:p>
    <w:p w:rsidR="001234B1" w:rsidRDefault="001234B1" w:rsidP="00583B67">
      <w:pPr>
        <w:pStyle w:val="CDIFigures"/>
      </w:pPr>
      <w:r>
        <w:lastRenderedPageBreak/>
        <w:t>Table 8: Penicillin MIC distribution of laboratory-confirmed invasive meningococcal disease isolates, Australia,</w:t>
      </w:r>
      <w:r w:rsidR="00106FA5">
        <w:t> </w:t>
      </w:r>
      <w:r>
        <w:t>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Penicillin MIC distribution of laboratory-confirmed invasive meningococcal disease isolates, Australia, 2018&#10;Table 8 shows the number and proportion, as a percentage, of penicillin minimum inhibitory concentration (MIC) determinations of invasive meningococcal disease (IMD) isolates tested in Australia in 2018"/>
      </w:tblPr>
      <w:tblGrid>
        <w:gridCol w:w="991"/>
        <w:gridCol w:w="1050"/>
        <w:gridCol w:w="1050"/>
        <w:gridCol w:w="1051"/>
        <w:gridCol w:w="1050"/>
        <w:gridCol w:w="1050"/>
        <w:gridCol w:w="1051"/>
        <w:gridCol w:w="1050"/>
        <w:gridCol w:w="1050"/>
        <w:gridCol w:w="1051"/>
      </w:tblGrid>
      <w:tr w:rsidR="0062725B" w:rsidRPr="0062725B" w:rsidTr="00543BFE">
        <w:trPr>
          <w:cnfStyle w:val="100000000000" w:firstRow="1" w:lastRow="0" w:firstColumn="0" w:lastColumn="0" w:oddVBand="0" w:evenVBand="0" w:oddHBand="0" w:evenHBand="0" w:firstRowFirstColumn="0" w:firstRowLastColumn="0" w:lastRowFirstColumn="0" w:lastRowLastColumn="0"/>
          <w:tblHeader/>
        </w:trPr>
        <w:tc>
          <w:tcPr>
            <w:tcW w:w="10440" w:type="dxa"/>
            <w:gridSpan w:val="10"/>
            <w:hideMark/>
          </w:tcPr>
          <w:p w:rsidR="001234B1" w:rsidRPr="0062725B" w:rsidRDefault="001234B1" w:rsidP="003F06EA">
            <w:pPr>
              <w:pStyle w:val="NormalWeb"/>
              <w:rPr>
                <w:color w:val="FFFFFF" w:themeColor="background1"/>
              </w:rPr>
            </w:pPr>
            <w:r w:rsidRPr="0062725B">
              <w:rPr>
                <w:color w:val="FFFFFF" w:themeColor="background1"/>
              </w:rPr>
              <w:t>Penicillin MIC distribution</w:t>
            </w:r>
          </w:p>
        </w:tc>
      </w:tr>
      <w:tr w:rsidR="001234B1" w:rsidTr="0062725B">
        <w:tc>
          <w:tcPr>
            <w:tcW w:w="0" w:type="auto"/>
            <w:hideMark/>
          </w:tcPr>
          <w:p w:rsidR="001234B1" w:rsidRDefault="001234B1">
            <w:pPr>
              <w:pStyle w:val="NormalWeb"/>
            </w:pPr>
            <w:r>
              <w:t>MIC mg/L</w:t>
            </w:r>
          </w:p>
        </w:tc>
        <w:tc>
          <w:tcPr>
            <w:tcW w:w="1040" w:type="dxa"/>
            <w:hideMark/>
          </w:tcPr>
          <w:p w:rsidR="001234B1" w:rsidRDefault="001234B1" w:rsidP="00DE1E41">
            <w:pPr>
              <w:pStyle w:val="NormalWeb"/>
              <w:jc w:val="center"/>
            </w:pPr>
            <w:r>
              <w:t>≤0.032</w:t>
            </w:r>
          </w:p>
        </w:tc>
        <w:tc>
          <w:tcPr>
            <w:tcW w:w="1040" w:type="dxa"/>
            <w:hideMark/>
          </w:tcPr>
          <w:p w:rsidR="001234B1" w:rsidRDefault="001234B1" w:rsidP="00DE1E41">
            <w:pPr>
              <w:pStyle w:val="NormalWeb"/>
              <w:jc w:val="center"/>
            </w:pPr>
            <w:r>
              <w:t>0.064</w:t>
            </w:r>
          </w:p>
        </w:tc>
        <w:tc>
          <w:tcPr>
            <w:tcW w:w="1041" w:type="dxa"/>
            <w:hideMark/>
          </w:tcPr>
          <w:p w:rsidR="001234B1" w:rsidRDefault="001234B1" w:rsidP="00DE1E41">
            <w:pPr>
              <w:pStyle w:val="NormalWeb"/>
              <w:jc w:val="center"/>
            </w:pPr>
            <w:r>
              <w:t>0.125</w:t>
            </w:r>
          </w:p>
        </w:tc>
        <w:tc>
          <w:tcPr>
            <w:tcW w:w="1040" w:type="dxa"/>
            <w:hideMark/>
          </w:tcPr>
          <w:p w:rsidR="001234B1" w:rsidRDefault="001234B1" w:rsidP="00DE1E41">
            <w:pPr>
              <w:pStyle w:val="NormalWeb"/>
              <w:jc w:val="center"/>
            </w:pPr>
            <w:r>
              <w:t>0.25</w:t>
            </w:r>
          </w:p>
        </w:tc>
        <w:tc>
          <w:tcPr>
            <w:tcW w:w="1040" w:type="dxa"/>
            <w:hideMark/>
          </w:tcPr>
          <w:p w:rsidR="001234B1" w:rsidRDefault="001234B1" w:rsidP="00DE1E41">
            <w:pPr>
              <w:pStyle w:val="NormalWeb"/>
              <w:jc w:val="center"/>
            </w:pPr>
            <w:r>
              <w:t>0.5</w:t>
            </w:r>
          </w:p>
        </w:tc>
        <w:tc>
          <w:tcPr>
            <w:tcW w:w="1041" w:type="dxa"/>
            <w:hideMark/>
          </w:tcPr>
          <w:p w:rsidR="001234B1" w:rsidRDefault="001234B1" w:rsidP="00DE1E41">
            <w:pPr>
              <w:pStyle w:val="NormalWeb"/>
              <w:jc w:val="center"/>
            </w:pPr>
            <w:r>
              <w:t>1</w:t>
            </w:r>
          </w:p>
        </w:tc>
        <w:tc>
          <w:tcPr>
            <w:tcW w:w="1040" w:type="dxa"/>
            <w:hideMark/>
          </w:tcPr>
          <w:p w:rsidR="001234B1" w:rsidRDefault="001234B1" w:rsidP="00DE1E41">
            <w:pPr>
              <w:pStyle w:val="NormalWeb"/>
              <w:jc w:val="center"/>
            </w:pPr>
            <w:r>
              <w:t>2</w:t>
            </w:r>
          </w:p>
        </w:tc>
        <w:tc>
          <w:tcPr>
            <w:tcW w:w="1040" w:type="dxa"/>
            <w:hideMark/>
          </w:tcPr>
          <w:p w:rsidR="001234B1" w:rsidRDefault="001234B1" w:rsidP="00DE1E41">
            <w:pPr>
              <w:pStyle w:val="NormalWeb"/>
              <w:jc w:val="center"/>
            </w:pPr>
            <w:r>
              <w:t>≥4</w:t>
            </w:r>
          </w:p>
        </w:tc>
        <w:tc>
          <w:tcPr>
            <w:tcW w:w="1041" w:type="dxa"/>
            <w:hideMark/>
          </w:tcPr>
          <w:p w:rsidR="001234B1" w:rsidRDefault="001234B1" w:rsidP="00DE1E41">
            <w:pPr>
              <w:pStyle w:val="NormalWeb"/>
              <w:jc w:val="center"/>
            </w:pPr>
            <w:r>
              <w:t>Total</w:t>
            </w:r>
          </w:p>
        </w:tc>
      </w:tr>
      <w:tr w:rsidR="0062725B" w:rsidTr="0062725B">
        <w:trPr>
          <w:cnfStyle w:val="000000010000" w:firstRow="0" w:lastRow="0" w:firstColumn="0" w:lastColumn="0" w:oddVBand="0" w:evenVBand="0" w:oddHBand="0" w:evenHBand="1" w:firstRowFirstColumn="0" w:firstRowLastColumn="0" w:lastRowFirstColumn="0" w:lastRowLastColumn="0"/>
        </w:trPr>
        <w:tc>
          <w:tcPr>
            <w:tcW w:w="0" w:type="auto"/>
            <w:hideMark/>
          </w:tcPr>
          <w:p w:rsidR="001234B1" w:rsidRDefault="001234B1">
            <w:pPr>
              <w:pStyle w:val="NormalWeb"/>
            </w:pPr>
            <w:r>
              <w:t>Number</w:t>
            </w:r>
          </w:p>
        </w:tc>
        <w:tc>
          <w:tcPr>
            <w:tcW w:w="1040" w:type="dxa"/>
            <w:hideMark/>
          </w:tcPr>
          <w:p w:rsidR="001234B1" w:rsidRDefault="001234B1" w:rsidP="00DE1E41">
            <w:pPr>
              <w:pStyle w:val="NormalWeb"/>
              <w:jc w:val="center"/>
            </w:pPr>
            <w:r>
              <w:t>10</w:t>
            </w:r>
          </w:p>
        </w:tc>
        <w:tc>
          <w:tcPr>
            <w:tcW w:w="1040" w:type="dxa"/>
            <w:hideMark/>
          </w:tcPr>
          <w:p w:rsidR="001234B1" w:rsidRDefault="001234B1" w:rsidP="00DE1E41">
            <w:pPr>
              <w:pStyle w:val="NormalWeb"/>
              <w:jc w:val="center"/>
            </w:pPr>
            <w:r>
              <w:t>41</w:t>
            </w:r>
          </w:p>
        </w:tc>
        <w:tc>
          <w:tcPr>
            <w:tcW w:w="1041" w:type="dxa"/>
            <w:hideMark/>
          </w:tcPr>
          <w:p w:rsidR="001234B1" w:rsidRDefault="001234B1" w:rsidP="00DE1E41">
            <w:pPr>
              <w:pStyle w:val="NormalWeb"/>
              <w:jc w:val="center"/>
            </w:pPr>
            <w:r>
              <w:t>30</w:t>
            </w:r>
          </w:p>
        </w:tc>
        <w:tc>
          <w:tcPr>
            <w:tcW w:w="1040" w:type="dxa"/>
            <w:hideMark/>
          </w:tcPr>
          <w:p w:rsidR="001234B1" w:rsidRDefault="001234B1" w:rsidP="00DE1E41">
            <w:pPr>
              <w:pStyle w:val="NormalWeb"/>
              <w:jc w:val="center"/>
            </w:pPr>
            <w:r>
              <w:t>56</w:t>
            </w:r>
          </w:p>
        </w:tc>
        <w:tc>
          <w:tcPr>
            <w:tcW w:w="1040" w:type="dxa"/>
            <w:hideMark/>
          </w:tcPr>
          <w:p w:rsidR="001234B1" w:rsidRDefault="001234B1" w:rsidP="00DE1E41">
            <w:pPr>
              <w:pStyle w:val="NormalWeb"/>
              <w:jc w:val="center"/>
            </w:pPr>
            <w:r>
              <w:t>72</w:t>
            </w:r>
          </w:p>
        </w:tc>
        <w:tc>
          <w:tcPr>
            <w:tcW w:w="1041" w:type="dxa"/>
            <w:hideMark/>
          </w:tcPr>
          <w:p w:rsidR="001234B1" w:rsidRDefault="001234B1" w:rsidP="00DE1E41">
            <w:pPr>
              <w:pStyle w:val="NormalWeb"/>
              <w:jc w:val="center"/>
            </w:pPr>
            <w:r>
              <w:t>3</w:t>
            </w:r>
          </w:p>
        </w:tc>
        <w:tc>
          <w:tcPr>
            <w:tcW w:w="1040" w:type="dxa"/>
            <w:hideMark/>
          </w:tcPr>
          <w:p w:rsidR="001234B1" w:rsidRDefault="001234B1" w:rsidP="00DE1E41">
            <w:pPr>
              <w:pStyle w:val="NormalWeb"/>
              <w:jc w:val="center"/>
            </w:pPr>
            <w:r>
              <w:t>0</w:t>
            </w:r>
          </w:p>
        </w:tc>
        <w:tc>
          <w:tcPr>
            <w:tcW w:w="1040" w:type="dxa"/>
            <w:hideMark/>
          </w:tcPr>
          <w:p w:rsidR="001234B1" w:rsidRDefault="001234B1" w:rsidP="00DE1E41">
            <w:pPr>
              <w:pStyle w:val="NormalWeb"/>
              <w:jc w:val="center"/>
            </w:pPr>
            <w:r>
              <w:t>0</w:t>
            </w:r>
          </w:p>
        </w:tc>
        <w:tc>
          <w:tcPr>
            <w:tcW w:w="1041" w:type="dxa"/>
            <w:hideMark/>
          </w:tcPr>
          <w:p w:rsidR="001234B1" w:rsidRDefault="001234B1" w:rsidP="00DE1E41">
            <w:pPr>
              <w:pStyle w:val="NormalWeb"/>
              <w:jc w:val="center"/>
            </w:pPr>
            <w:r>
              <w:t>212</w:t>
            </w:r>
          </w:p>
        </w:tc>
      </w:tr>
      <w:tr w:rsidR="0062725B" w:rsidTr="0062725B">
        <w:tc>
          <w:tcPr>
            <w:tcW w:w="0" w:type="auto"/>
            <w:hideMark/>
          </w:tcPr>
          <w:p w:rsidR="001234B1" w:rsidRDefault="001234B1">
            <w:pPr>
              <w:pStyle w:val="NormalWeb"/>
            </w:pPr>
            <w:r>
              <w:t>%</w:t>
            </w:r>
          </w:p>
        </w:tc>
        <w:tc>
          <w:tcPr>
            <w:tcW w:w="1040" w:type="dxa"/>
            <w:hideMark/>
          </w:tcPr>
          <w:p w:rsidR="001234B1" w:rsidRDefault="001234B1" w:rsidP="00DE1E41">
            <w:pPr>
              <w:pStyle w:val="NormalWeb"/>
              <w:jc w:val="center"/>
            </w:pPr>
            <w:r>
              <w:t>4.7</w:t>
            </w:r>
          </w:p>
        </w:tc>
        <w:tc>
          <w:tcPr>
            <w:tcW w:w="1040" w:type="dxa"/>
            <w:hideMark/>
          </w:tcPr>
          <w:p w:rsidR="001234B1" w:rsidRDefault="001234B1" w:rsidP="00DE1E41">
            <w:pPr>
              <w:pStyle w:val="NormalWeb"/>
              <w:jc w:val="center"/>
            </w:pPr>
            <w:r>
              <w:t>19.3</w:t>
            </w:r>
          </w:p>
        </w:tc>
        <w:tc>
          <w:tcPr>
            <w:tcW w:w="1041" w:type="dxa"/>
            <w:hideMark/>
          </w:tcPr>
          <w:p w:rsidR="001234B1" w:rsidRDefault="001234B1" w:rsidP="00DE1E41">
            <w:pPr>
              <w:pStyle w:val="NormalWeb"/>
              <w:jc w:val="center"/>
            </w:pPr>
            <w:r>
              <w:t>14.2</w:t>
            </w:r>
          </w:p>
        </w:tc>
        <w:tc>
          <w:tcPr>
            <w:tcW w:w="1040" w:type="dxa"/>
            <w:hideMark/>
          </w:tcPr>
          <w:p w:rsidR="001234B1" w:rsidRDefault="001234B1" w:rsidP="00DE1E41">
            <w:pPr>
              <w:pStyle w:val="NormalWeb"/>
              <w:jc w:val="center"/>
            </w:pPr>
            <w:r>
              <w:t>26.4</w:t>
            </w:r>
          </w:p>
        </w:tc>
        <w:tc>
          <w:tcPr>
            <w:tcW w:w="1040" w:type="dxa"/>
            <w:hideMark/>
          </w:tcPr>
          <w:p w:rsidR="001234B1" w:rsidRDefault="001234B1" w:rsidP="00DE1E41">
            <w:pPr>
              <w:pStyle w:val="NormalWeb"/>
              <w:jc w:val="center"/>
            </w:pPr>
            <w:r>
              <w:t>34.0</w:t>
            </w:r>
          </w:p>
        </w:tc>
        <w:tc>
          <w:tcPr>
            <w:tcW w:w="1041" w:type="dxa"/>
            <w:hideMark/>
          </w:tcPr>
          <w:p w:rsidR="001234B1" w:rsidRDefault="001234B1" w:rsidP="00DE1E41">
            <w:pPr>
              <w:pStyle w:val="NormalWeb"/>
              <w:jc w:val="center"/>
            </w:pPr>
            <w:r>
              <w:t>1.4</w:t>
            </w:r>
          </w:p>
        </w:tc>
        <w:tc>
          <w:tcPr>
            <w:tcW w:w="1040" w:type="dxa"/>
            <w:hideMark/>
          </w:tcPr>
          <w:p w:rsidR="001234B1" w:rsidRDefault="001234B1" w:rsidP="00DE1E41">
            <w:pPr>
              <w:pStyle w:val="NormalWeb"/>
              <w:jc w:val="center"/>
            </w:pPr>
            <w:r>
              <w:t>0</w:t>
            </w:r>
          </w:p>
        </w:tc>
        <w:tc>
          <w:tcPr>
            <w:tcW w:w="1040" w:type="dxa"/>
            <w:hideMark/>
          </w:tcPr>
          <w:p w:rsidR="001234B1" w:rsidRDefault="001234B1" w:rsidP="00DE1E41">
            <w:pPr>
              <w:pStyle w:val="NormalWeb"/>
              <w:jc w:val="center"/>
            </w:pPr>
            <w:r>
              <w:t>0</w:t>
            </w:r>
          </w:p>
        </w:tc>
        <w:tc>
          <w:tcPr>
            <w:tcW w:w="1041" w:type="dxa"/>
            <w:hideMark/>
          </w:tcPr>
          <w:p w:rsidR="001234B1" w:rsidRDefault="001234B1" w:rsidP="00DE1E41">
            <w:pPr>
              <w:pStyle w:val="NormalWeb"/>
              <w:jc w:val="center"/>
            </w:pPr>
            <w:r>
              <w:t>100</w:t>
            </w:r>
          </w:p>
        </w:tc>
      </w:tr>
    </w:tbl>
    <w:p w:rsidR="003F06EA" w:rsidRDefault="003F06EA" w:rsidP="001234B1"/>
    <w:p w:rsidR="001234B1" w:rsidRDefault="001234B1" w:rsidP="001234B1">
      <w:r>
        <w:t xml:space="preserve">Of the 72 isolates with a penicillin MIC of 0.5 mg/L, 60 isolates were </w:t>
      </w:r>
      <w:proofErr w:type="spellStart"/>
      <w:r>
        <w:t>serogroup</w:t>
      </w:r>
      <w:proofErr w:type="spellEnd"/>
      <w:r>
        <w:t xml:space="preserve"> W, and this represented 70% (60/86) of </w:t>
      </w:r>
      <w:proofErr w:type="spellStart"/>
      <w:r>
        <w:t>serogroup</w:t>
      </w:r>
      <w:proofErr w:type="spellEnd"/>
      <w:r>
        <w:t xml:space="preserve"> W isolates available for MIC determination. In recent years, there has been an increasing proportion of invasive meningococcal disease isolates with decreased susceptibility and resistance to penicillin (Figure 5), with </w:t>
      </w:r>
      <w:proofErr w:type="spellStart"/>
      <w:r>
        <w:t>serogroup</w:t>
      </w:r>
      <w:proofErr w:type="spellEnd"/>
      <w:r>
        <w:t xml:space="preserve"> W demonstrating higher penicillin MIC and higher proportions of resistance. In 2017, 10/14 isolates that were resistant to penicillin with an MIC ≥ 1 mg/L were </w:t>
      </w:r>
      <w:proofErr w:type="spellStart"/>
      <w:r>
        <w:t>serogroup</w:t>
      </w:r>
      <w:proofErr w:type="spellEnd"/>
      <w:r>
        <w:t xml:space="preserve"> W, and this represented 8.3% resistance in all </w:t>
      </w:r>
      <w:proofErr w:type="spellStart"/>
      <w:r>
        <w:t>serogroup</w:t>
      </w:r>
      <w:proofErr w:type="spellEnd"/>
      <w:r>
        <w:t xml:space="preserve"> W isolates available for MIC determination (n = 121). In 2016, 11 isolates were resistant to penicillin with an MIC ≥ 1 mg/L, all of which were </w:t>
      </w:r>
      <w:proofErr w:type="spellStart"/>
      <w:r>
        <w:t>serogroup</w:t>
      </w:r>
      <w:proofErr w:type="spellEnd"/>
      <w:r>
        <w:t xml:space="preserve"> W, and this represented 11% resistance in all </w:t>
      </w:r>
      <w:proofErr w:type="spellStart"/>
      <w:r>
        <w:t>serogroup</w:t>
      </w:r>
      <w:proofErr w:type="spellEnd"/>
      <w:r>
        <w:t xml:space="preserve"> W isolates available for MIC determination (n = 99). </w:t>
      </w:r>
    </w:p>
    <w:p w:rsidR="001234B1" w:rsidRDefault="001234B1" w:rsidP="001234B1">
      <w:r>
        <w:t xml:space="preserve">Ceftriaxone susceptibility testing was performed on 76% (210/278) of the IMD cases for 2018, and all were susceptible. Ciprofloxacin susceptibility testing was performed on 68% (189/278) of the IMD cases for 2018, and 1 isolate was less susceptible with an MIC of 0.25 mg/L. Rifampicin susceptibility testing was performed on 69% (191/278) of the IMD cases for 2018, and all were susceptible. </w:t>
      </w:r>
    </w:p>
    <w:p w:rsidR="001234B1" w:rsidRPr="001234B1" w:rsidRDefault="001234B1" w:rsidP="001234B1">
      <w:pPr>
        <w:pStyle w:val="Heading1"/>
      </w:pPr>
      <w:r w:rsidRPr="001234B1">
        <w:t xml:space="preserve">Discussion </w:t>
      </w:r>
    </w:p>
    <w:p w:rsidR="001234B1" w:rsidRDefault="001234B1" w:rsidP="001234B1">
      <w:r>
        <w:t>In 2018, 278 of 281 IMD notifications (98.9%) were laboratory confirmed.</w:t>
      </w:r>
      <w:r>
        <w:rPr>
          <w:vertAlign w:val="superscript"/>
        </w:rPr>
        <w:t>3</w:t>
      </w:r>
      <w:r>
        <w:t xml:space="preserve"> </w:t>
      </w:r>
      <w:proofErr w:type="gramStart"/>
      <w:r>
        <w:t>This</w:t>
      </w:r>
      <w:proofErr w:type="gramEnd"/>
      <w:r>
        <w:t xml:space="preserve"> was a decrease in the number of notifications of IMD in Australia from 2017 (380), which was the highest reported since 2006. </w:t>
      </w:r>
    </w:p>
    <w:p w:rsidR="001234B1" w:rsidRDefault="001234B1" w:rsidP="001234B1">
      <w:r>
        <w:t xml:space="preserve">Following the increases in </w:t>
      </w:r>
      <w:proofErr w:type="spellStart"/>
      <w:r>
        <w:t>serogroup</w:t>
      </w:r>
      <w:proofErr w:type="spellEnd"/>
      <w:r>
        <w:t xml:space="preserve"> W and Y disease in Australia 2016–2017, jurisdictions variably implemented time-limited </w:t>
      </w:r>
      <w:proofErr w:type="spellStart"/>
      <w:r>
        <w:t>quadrivalent</w:t>
      </w:r>
      <w:proofErr w:type="spellEnd"/>
      <w:r>
        <w:t xml:space="preserve"> ACWY vaccination programs for either adolescents (15–19 years) or infants, children, adolescents and young adults (0–20 years) in 2017 or 2018.</w:t>
      </w:r>
      <w:r>
        <w:rPr>
          <w:vertAlign w:val="superscript"/>
        </w:rPr>
        <w:t>8</w:t>
      </w:r>
      <w:r>
        <w:t xml:space="preserve"> From 1 July 2018, the nationally funded </w:t>
      </w:r>
      <w:proofErr w:type="spellStart"/>
      <w:r>
        <w:t>MenC</w:t>
      </w:r>
      <w:proofErr w:type="spellEnd"/>
      <w:r>
        <w:t xml:space="preserve"> vaccine scheduled for administration at 12 months of age was replaced with a </w:t>
      </w:r>
      <w:proofErr w:type="spellStart"/>
      <w:r>
        <w:t>quadrivalent</w:t>
      </w:r>
      <w:proofErr w:type="spellEnd"/>
      <w:r>
        <w:t xml:space="preserve"> </w:t>
      </w:r>
      <w:proofErr w:type="spellStart"/>
      <w:r>
        <w:t>serogroup</w:t>
      </w:r>
      <w:proofErr w:type="spellEnd"/>
      <w:r>
        <w:t xml:space="preserve"> ACWY vaccine on the National Immunisation Program (NIP).</w:t>
      </w:r>
      <w:r>
        <w:rPr>
          <w:vertAlign w:val="superscript"/>
        </w:rPr>
        <w:t>8</w:t>
      </w:r>
      <w:r>
        <w:t xml:space="preserve"> A recombinant multi-component meningococcal B vaccine has been available in Australia since 2014,</w:t>
      </w:r>
      <w:r>
        <w:rPr>
          <w:vertAlign w:val="superscript"/>
        </w:rPr>
        <w:t>9</w:t>
      </w:r>
      <w:r>
        <w:t xml:space="preserve"> however this vaccine is not currently on the NIP. </w:t>
      </w:r>
    </w:p>
    <w:p w:rsidR="001234B1" w:rsidRDefault="001234B1" w:rsidP="001234B1">
      <w:r>
        <w:t xml:space="preserve">As reported by the AMSP since 2015, the primary peak of IMD continues to be observed in adults aged 45 years or older and is attributable to the increased number of IMD cases caused by </w:t>
      </w:r>
      <w:proofErr w:type="spellStart"/>
      <w:r>
        <w:t>serogroups</w:t>
      </w:r>
      <w:proofErr w:type="spellEnd"/>
      <w:r>
        <w:t xml:space="preserve"> W and Y. Secondary disease peaks were observed in those aged less than 5 years, due primarily to </w:t>
      </w:r>
      <w:proofErr w:type="spellStart"/>
      <w:r>
        <w:t>serogroup</w:t>
      </w:r>
      <w:proofErr w:type="spellEnd"/>
      <w:r>
        <w:t xml:space="preserve"> B cases in this age category. </w:t>
      </w:r>
    </w:p>
    <w:p w:rsidR="001234B1" w:rsidRDefault="001234B1" w:rsidP="001234B1">
      <w:r>
        <w:t xml:space="preserve">With regards to IMD </w:t>
      </w:r>
      <w:proofErr w:type="spellStart"/>
      <w:r>
        <w:t>serogroup</w:t>
      </w:r>
      <w:proofErr w:type="spellEnd"/>
      <w:r>
        <w:t xml:space="preserve"> analysis, the number of IMD cases caused by </w:t>
      </w:r>
      <w:proofErr w:type="spellStart"/>
      <w:r>
        <w:t>serogroup</w:t>
      </w:r>
      <w:proofErr w:type="spellEnd"/>
      <w:r>
        <w:t xml:space="preserve"> B in 2018 was less than the previous year, and New South Wales reported the largest number; however, South Australia continues to report the highest proportion of </w:t>
      </w:r>
      <w:proofErr w:type="spellStart"/>
      <w:r>
        <w:t>serogroup</w:t>
      </w:r>
      <w:proofErr w:type="spellEnd"/>
      <w:r>
        <w:t xml:space="preserve"> B in the notifications of IMD nationally. The predominant genotype for IMD cases caused by </w:t>
      </w:r>
      <w:proofErr w:type="spellStart"/>
      <w:r>
        <w:t>serogroup</w:t>
      </w:r>
      <w:proofErr w:type="spellEnd"/>
      <w:r>
        <w:t xml:space="preserve"> B in Australia continues to be P1.7-2</w:t>
      </w:r>
      <w:proofErr w:type="gramStart"/>
      <w:r>
        <w:t>,4</w:t>
      </w:r>
      <w:proofErr w:type="gramEnd"/>
      <w:r>
        <w:t>, however, of note the highest number of genotype P1.19,15 was reported since AMSP genotyping data reporting commenced in 2009. The P1.19</w:t>
      </w:r>
      <w:proofErr w:type="gramStart"/>
      <w:r>
        <w:t>,15</w:t>
      </w:r>
      <w:proofErr w:type="gramEnd"/>
      <w:r>
        <w:t xml:space="preserve"> genotype accounted for 10% of </w:t>
      </w:r>
      <w:proofErr w:type="spellStart"/>
      <w:r>
        <w:t>typeable</w:t>
      </w:r>
      <w:proofErr w:type="spellEnd"/>
      <w:r>
        <w:t xml:space="preserve"> </w:t>
      </w:r>
      <w:proofErr w:type="spellStart"/>
      <w:r>
        <w:t>serogroup</w:t>
      </w:r>
      <w:proofErr w:type="spellEnd"/>
      <w:r>
        <w:t xml:space="preserve"> B IMD cases. </w:t>
      </w:r>
    </w:p>
    <w:p w:rsidR="001234B1" w:rsidRDefault="001234B1" w:rsidP="001234B1">
      <w:r>
        <w:t xml:space="preserve">Whilst the numbers of IMD cases caused by </w:t>
      </w:r>
      <w:proofErr w:type="spellStart"/>
      <w:r>
        <w:t>serogroup</w:t>
      </w:r>
      <w:proofErr w:type="spellEnd"/>
      <w:r>
        <w:t xml:space="preserve"> W and </w:t>
      </w:r>
      <w:proofErr w:type="spellStart"/>
      <w:r>
        <w:t>serogroup</w:t>
      </w:r>
      <w:proofErr w:type="spellEnd"/>
      <w:r>
        <w:t xml:space="preserve"> Y in 2018 were each lower than those reported in 2017—the highest reported by the AMSP—the proportion of IMD cases attributable to </w:t>
      </w:r>
      <w:proofErr w:type="spellStart"/>
      <w:r>
        <w:t>serogroup</w:t>
      </w:r>
      <w:proofErr w:type="spellEnd"/>
      <w:r>
        <w:t xml:space="preserve"> W and </w:t>
      </w:r>
      <w:r>
        <w:lastRenderedPageBreak/>
        <w:t xml:space="preserve">Y continues to be much higher than was reported for these </w:t>
      </w:r>
      <w:proofErr w:type="spellStart"/>
      <w:r>
        <w:t>serogroups</w:t>
      </w:r>
      <w:proofErr w:type="spellEnd"/>
      <w:r>
        <w:t xml:space="preserve"> prior to 2015. The number of IMD caused by </w:t>
      </w:r>
      <w:proofErr w:type="spellStart"/>
      <w:r>
        <w:t>serogroup</w:t>
      </w:r>
      <w:proofErr w:type="spellEnd"/>
      <w:r>
        <w:t xml:space="preserve"> C was less than the previous year, which was the highest reported by the AMSP since 2007. </w:t>
      </w:r>
    </w:p>
    <w:p w:rsidR="001234B1" w:rsidRDefault="001234B1" w:rsidP="001234B1">
      <w:r>
        <w:t xml:space="preserve">In 2018 </w:t>
      </w:r>
      <w:proofErr w:type="spellStart"/>
      <w:r>
        <w:t>serogroup</w:t>
      </w:r>
      <w:proofErr w:type="spellEnd"/>
      <w:r>
        <w:t xml:space="preserve"> W represented 36% of all laboratory-confirmed IMD cases in 2018, a decrease from 2017, but for the first time was reported in all jurisdictions with the highest proportions in Western Australia (30%), New South Wales and Victoria (19% each). The predominant circulating strain of </w:t>
      </w:r>
      <w:proofErr w:type="spellStart"/>
      <w:r>
        <w:t>serogroup</w:t>
      </w:r>
      <w:proofErr w:type="spellEnd"/>
      <w:r>
        <w:t xml:space="preserve"> W continues to be genotype P1.5</w:t>
      </w:r>
      <w:proofErr w:type="gramStart"/>
      <w:r>
        <w:t>,2</w:t>
      </w:r>
      <w:proofErr w:type="gramEnd"/>
      <w:r>
        <w:t xml:space="preserve"> sequence type (ST)-11. This same </w:t>
      </w:r>
      <w:proofErr w:type="spellStart"/>
      <w:r>
        <w:t>hypervirulent</w:t>
      </w:r>
      <w:proofErr w:type="spellEnd"/>
      <w:r>
        <w:t xml:space="preserve"> </w:t>
      </w:r>
      <w:proofErr w:type="spellStart"/>
      <w:r>
        <w:t>serogroup</w:t>
      </w:r>
      <w:proofErr w:type="spellEnd"/>
      <w:r>
        <w:t xml:space="preserve"> W strain previously emerged in the United Kingdom</w:t>
      </w:r>
      <w:r>
        <w:rPr>
          <w:vertAlign w:val="superscript"/>
        </w:rPr>
        <w:t>7</w:t>
      </w:r>
      <w:r>
        <w:t xml:space="preserve"> and South America</w:t>
      </w:r>
      <w:r>
        <w:rPr>
          <w:vertAlign w:val="superscript"/>
        </w:rPr>
        <w:t>6</w:t>
      </w:r>
      <w:r>
        <w:t xml:space="preserve"> in 2009 and spread to account for 25% of IMD in the UK in 2014–2015, and 59% of all cases in Chile in 2012. </w:t>
      </w:r>
      <w:proofErr w:type="spellStart"/>
      <w:r>
        <w:t>Serogroup</w:t>
      </w:r>
      <w:proofErr w:type="spellEnd"/>
      <w:r>
        <w:t xml:space="preserve"> W ST11 is associated with atypical presentations, more severe clinical disease and a higher case fatality rate.</w:t>
      </w:r>
      <w:r>
        <w:rPr>
          <w:vertAlign w:val="superscript"/>
        </w:rPr>
        <w:t>7</w:t>
      </w:r>
      <w:r>
        <w:t xml:space="preserve"> The initial increase in </w:t>
      </w:r>
      <w:proofErr w:type="spellStart"/>
      <w:r>
        <w:t>serogroup</w:t>
      </w:r>
      <w:proofErr w:type="spellEnd"/>
      <w:r>
        <w:t xml:space="preserve"> W, overseas and in Australia, was seen in older adults, but was subsequently reported in all age groups, particularly in adolescents and infants.</w:t>
      </w:r>
      <w:r>
        <w:rPr>
          <w:vertAlign w:val="superscript"/>
        </w:rPr>
        <w:t>10</w:t>
      </w:r>
      <w:r>
        <w:t xml:space="preserve"> In July 2018 there was a small cluster of 3 cases of </w:t>
      </w:r>
      <w:proofErr w:type="spellStart"/>
      <w:r>
        <w:t>serogroup</w:t>
      </w:r>
      <w:proofErr w:type="spellEnd"/>
      <w:r>
        <w:t xml:space="preserve"> W IMD in Hobart, Tasmania. </w:t>
      </w:r>
    </w:p>
    <w:p w:rsidR="001234B1" w:rsidRDefault="001234B1" w:rsidP="001234B1">
      <w:r>
        <w:t xml:space="preserve">The number and proportion of cases of IMD caused by </w:t>
      </w:r>
      <w:proofErr w:type="spellStart"/>
      <w:r>
        <w:t>serogroup</w:t>
      </w:r>
      <w:proofErr w:type="spellEnd"/>
      <w:r>
        <w:t xml:space="preserve"> Y in 2018 was the second highest reported by the AMSP, and triple the average number of annual </w:t>
      </w:r>
      <w:proofErr w:type="spellStart"/>
      <w:r>
        <w:t>serogroup</w:t>
      </w:r>
      <w:proofErr w:type="spellEnd"/>
      <w:r>
        <w:t xml:space="preserve"> Y cases reported before 2015. The highest case numbers were reported in New South Wales, Queensland and Victoria. The predominant </w:t>
      </w:r>
      <w:proofErr w:type="spellStart"/>
      <w:r>
        <w:t>serogroup</w:t>
      </w:r>
      <w:proofErr w:type="spellEnd"/>
      <w:r>
        <w:t xml:space="preserve"> Y genotype since 2014 continues to be P1.5-1</w:t>
      </w:r>
      <w:proofErr w:type="gramStart"/>
      <w:r>
        <w:t>,10</w:t>
      </w:r>
      <w:proofErr w:type="gramEnd"/>
      <w:r>
        <w:t xml:space="preserve">-1 whereas in previous years the </w:t>
      </w:r>
      <w:proofErr w:type="spellStart"/>
      <w:r>
        <w:t>serogroup</w:t>
      </w:r>
      <w:proofErr w:type="spellEnd"/>
      <w:r>
        <w:t xml:space="preserve"> Y genotype distribution was more heterogeneous. The emergence of </w:t>
      </w:r>
      <w:proofErr w:type="spellStart"/>
      <w:r>
        <w:t>serogroup</w:t>
      </w:r>
      <w:proofErr w:type="spellEnd"/>
      <w:r>
        <w:t xml:space="preserve"> Y has also been reported recently in Europe.</w:t>
      </w:r>
      <w:r>
        <w:rPr>
          <w:vertAlign w:val="superscript"/>
        </w:rPr>
        <w:t>11</w:t>
      </w:r>
      <w:r>
        <w:t xml:space="preserve"> The phenotypic and genotypic characterisation of the </w:t>
      </w:r>
      <w:proofErr w:type="spellStart"/>
      <w:r>
        <w:t>serogroup</w:t>
      </w:r>
      <w:proofErr w:type="spellEnd"/>
      <w:r>
        <w:t xml:space="preserve"> Y isolates is ongoing by the NNN. </w:t>
      </w:r>
    </w:p>
    <w:p w:rsidR="001234B1" w:rsidRDefault="001234B1" w:rsidP="001234B1">
      <w:r>
        <w:t xml:space="preserve">In 2018 there were two cases of IMD caused by </w:t>
      </w:r>
      <w:proofErr w:type="spellStart"/>
      <w:r>
        <w:t>serogroup</w:t>
      </w:r>
      <w:proofErr w:type="spellEnd"/>
      <w:r>
        <w:t xml:space="preserve"> E, the first time since </w:t>
      </w:r>
      <w:r w:rsidR="00174F09">
        <w:t xml:space="preserve">2007 </w:t>
      </w:r>
      <w:r>
        <w:t xml:space="preserve">this </w:t>
      </w:r>
      <w:proofErr w:type="spellStart"/>
      <w:r>
        <w:t>serogroup</w:t>
      </w:r>
      <w:proofErr w:type="spellEnd"/>
      <w:r>
        <w:t xml:space="preserve"> was detected in IMD cases in Australia. Both cases were from Queensland and both exhibited the same genotype P1.21-7</w:t>
      </w:r>
      <w:proofErr w:type="gramStart"/>
      <w:r>
        <w:t>,16</w:t>
      </w:r>
      <w:proofErr w:type="gramEnd"/>
      <w:r>
        <w:t xml:space="preserve">. </w:t>
      </w:r>
    </w:p>
    <w:p w:rsidR="001234B1" w:rsidRDefault="001234B1" w:rsidP="001234B1">
      <w:r>
        <w:t xml:space="preserve">Genomic investigations showed that in 2018 there were 15 clonal complex (cc) groups represented amongst the 163 isolates typed, with 3 clonal complexes (cc) predominant: cc11 (39%), cc23 (17%) and cc41/44 (15%). The cc11 was predominately </w:t>
      </w:r>
      <w:proofErr w:type="spellStart"/>
      <w:r>
        <w:t>serogroup</w:t>
      </w:r>
      <w:proofErr w:type="spellEnd"/>
      <w:r>
        <w:t xml:space="preserve"> W (93%), cc23 was associated exclusively with </w:t>
      </w:r>
      <w:proofErr w:type="spellStart"/>
      <w:r>
        <w:t>serogroup</w:t>
      </w:r>
      <w:proofErr w:type="spellEnd"/>
      <w:r>
        <w:t xml:space="preserve"> Y, and cc41/44 exclusively with </w:t>
      </w:r>
      <w:proofErr w:type="spellStart"/>
      <w:r>
        <w:t>serogroup</w:t>
      </w:r>
      <w:proofErr w:type="spellEnd"/>
      <w:r>
        <w:t xml:space="preserve"> B. Amongst the </w:t>
      </w:r>
      <w:proofErr w:type="spellStart"/>
      <w:r>
        <w:t>serogroup</w:t>
      </w:r>
      <w:proofErr w:type="spellEnd"/>
      <w:r>
        <w:t xml:space="preserve"> W cc11 isolates there were 5 sequence types (ST): ST-11 (36/60, 61%), ST-1287 (11/59, 16%), ST-12351 (11/59, 18%), ST-2780 (1/59), and ST-13135 (1/59). A cluster of ST-1287 and ST12351 isolates was identified in 2017 as associated with IMD within remote regions of Australia. Ten isolates from 2018 isolates were found to be highly related to the 2017 cluster. Of the </w:t>
      </w:r>
      <w:proofErr w:type="spellStart"/>
      <w:r>
        <w:t>serogroup</w:t>
      </w:r>
      <w:proofErr w:type="spellEnd"/>
      <w:r>
        <w:t xml:space="preserve"> Y isolates, 24/30 (80%) were ST-1655. These isolates are not phylogenetically closely related. </w:t>
      </w:r>
      <w:proofErr w:type="spellStart"/>
      <w:r>
        <w:t>Serogroup</w:t>
      </w:r>
      <w:proofErr w:type="spellEnd"/>
      <w:r>
        <w:t xml:space="preserve"> B showed greatest genetic diversity comprising isolates within 10 clonal complexes. A closely-related cluster of B</w:t>
      </w:r>
      <w:proofErr w:type="gramStart"/>
      <w:r>
        <w:t>:P1.7</w:t>
      </w:r>
      <w:proofErr w:type="gramEnd"/>
      <w:r>
        <w:t>-2,4:F1-5:ST-154:cc41/44 isolates was observed in</w:t>
      </w:r>
      <w:r w:rsidR="00E14437">
        <w:t> </w:t>
      </w:r>
      <w:r>
        <w:t xml:space="preserve">2018. </w:t>
      </w:r>
    </w:p>
    <w:p w:rsidR="001234B1" w:rsidRDefault="001234B1" w:rsidP="001234B1">
      <w:r>
        <w:t xml:space="preserve">Antimicrobial susceptibility testing of IMD isolates showed that penicillin resistance was reduced in 2018 compared with 2016 and 2017, which had been the highest annual number and proportion of penicillin-resistant IMD isolates recorded by the AMSP. The incidence of penicillin resistance in </w:t>
      </w:r>
      <w:r w:rsidRPr="004C6AE3">
        <w:rPr>
          <w:rStyle w:val="Emphasis"/>
          <w:b w:val="0"/>
        </w:rPr>
        <w:t xml:space="preserve">N. </w:t>
      </w:r>
      <w:proofErr w:type="spellStart"/>
      <w:r w:rsidRPr="004C6AE3">
        <w:rPr>
          <w:rStyle w:val="Emphasis"/>
          <w:b w:val="0"/>
        </w:rPr>
        <w:t>meningitidis</w:t>
      </w:r>
      <w:proofErr w:type="spellEnd"/>
      <w:r>
        <w:t xml:space="preserve"> in Australia had been less than 1% annually for IMD isolates tested in 1996–2014, rising to 3.4% in 2015 and 5.8% in 2016, before dropping slightly to 5.1% in 2017. In 2018 1.4% of meningococcal isolates were resistant. The proportion of IMD isolates with penicillin MIC values in the less sensitive category has been increasing in recent years. These proportions ranged from 62% to 75% in 1996–2006; 67–79% in 2007–2009; 78–88% in 2010–2015, 90% in 2016 and 2017, and in 2018 was 94%. The majority of penicillin-resistant meningococcal isolates are </w:t>
      </w:r>
      <w:proofErr w:type="spellStart"/>
      <w:r>
        <w:t>serogroup</w:t>
      </w:r>
      <w:proofErr w:type="spellEnd"/>
      <w:r>
        <w:t xml:space="preserve"> W. All IMD isolates tested in 2018 were susceptible to ceftriaxone and rifampicin, while one isolate was less susceptible to ciprofloxacin. </w:t>
      </w:r>
    </w:p>
    <w:p w:rsidR="001234B1" w:rsidRDefault="001234B1" w:rsidP="001234B1">
      <w:r>
        <w:t xml:space="preserve">The recent increase in IMD cases, and particularly those caused by </w:t>
      </w:r>
      <w:proofErr w:type="spellStart"/>
      <w:r>
        <w:t>serogroup</w:t>
      </w:r>
      <w:proofErr w:type="spellEnd"/>
      <w:r>
        <w:t xml:space="preserve"> W and </w:t>
      </w:r>
      <w:proofErr w:type="spellStart"/>
      <w:r>
        <w:t>serogroup</w:t>
      </w:r>
      <w:proofErr w:type="spellEnd"/>
      <w:r>
        <w:t xml:space="preserve"> Y, and the observed increase in antimicrobial resistance in </w:t>
      </w:r>
      <w:proofErr w:type="spellStart"/>
      <w:r>
        <w:t>serogroup</w:t>
      </w:r>
      <w:proofErr w:type="spellEnd"/>
      <w:r>
        <w:t xml:space="preserve"> W isolates are of significant concern. The NNN is continuing to closely monitor the phenotypic and genotypic features of </w:t>
      </w:r>
      <w:r w:rsidRPr="004C6AE3">
        <w:rPr>
          <w:rStyle w:val="Emphasis"/>
          <w:b w:val="0"/>
        </w:rPr>
        <w:t xml:space="preserve">N. </w:t>
      </w:r>
      <w:proofErr w:type="spellStart"/>
      <w:r w:rsidRPr="004C6AE3">
        <w:rPr>
          <w:rStyle w:val="Emphasis"/>
          <w:b w:val="0"/>
        </w:rPr>
        <w:t>meningitidis</w:t>
      </w:r>
      <w:proofErr w:type="spellEnd"/>
      <w:r w:rsidRPr="004C6AE3">
        <w:rPr>
          <w:rStyle w:val="Emphasis"/>
          <w:b w:val="0"/>
        </w:rPr>
        <w:t xml:space="preserve"> </w:t>
      </w:r>
      <w:r>
        <w:t xml:space="preserve">causing IMD in Australia, and the impact of the recent changes in the immunisation schedule directed to address these changes. Additional investigations, </w:t>
      </w:r>
      <w:r>
        <w:lastRenderedPageBreak/>
        <w:t xml:space="preserve">including whole genome sequencing, are in place to enhance IMD surveillance. The AMSP data are also used for informing treatment guidelines and other disease prevention strategies. </w:t>
      </w:r>
    </w:p>
    <w:p w:rsidR="001234B1" w:rsidRPr="001234B1" w:rsidRDefault="001234B1" w:rsidP="001234B1">
      <w:pPr>
        <w:pStyle w:val="Heading1"/>
      </w:pPr>
      <w:r w:rsidRPr="001234B1">
        <w:t xml:space="preserve">Acknowledgements </w:t>
      </w:r>
    </w:p>
    <w:p w:rsidR="001234B1" w:rsidRDefault="001234B1" w:rsidP="001234B1">
      <w:r>
        <w:t xml:space="preserve">Meningococcal isolates were received in the reference centres from many laboratories throughout Australia. The considerable time and effort involved in forwarding these isolates is recognised, and these efforts are greatly appreciated. These data could not have been provided without this assistance, and without the help of clinical colleagues and public health personnel. The Australian Government Department of Health provided funding for the National Neisseria Network. </w:t>
      </w:r>
    </w:p>
    <w:p w:rsidR="001234B1" w:rsidRDefault="001234B1" w:rsidP="001234B1">
      <w:r>
        <w:t>Members of the AMSP in 2018, to whom isolates and samples should be referred, and enquiries directed, are listed</w:t>
      </w:r>
      <w:r w:rsidR="00E14437">
        <w:t> </w:t>
      </w:r>
      <w:r>
        <w:t xml:space="preserve">below. </w:t>
      </w:r>
    </w:p>
    <w:p w:rsidR="001234B1" w:rsidRPr="001234B1" w:rsidRDefault="001234B1" w:rsidP="001234B1">
      <w:pPr>
        <w:pStyle w:val="Heading2"/>
      </w:pPr>
      <w:r w:rsidRPr="001234B1">
        <w:t xml:space="preserve">Australian Capital Territory </w:t>
      </w:r>
    </w:p>
    <w:p w:rsidR="00174F09" w:rsidRDefault="001234B1" w:rsidP="00174F09">
      <w:pPr>
        <w:spacing w:after="0"/>
      </w:pPr>
      <w:r>
        <w:t xml:space="preserve">P </w:t>
      </w:r>
      <w:proofErr w:type="spellStart"/>
      <w:r>
        <w:t>Collignon</w:t>
      </w:r>
      <w:proofErr w:type="spellEnd"/>
      <w:r>
        <w:t xml:space="preserve">, S Bradbury </w:t>
      </w:r>
    </w:p>
    <w:p w:rsidR="00174F09" w:rsidRDefault="001234B1" w:rsidP="00174F09">
      <w:pPr>
        <w:spacing w:after="0"/>
      </w:pPr>
      <w:r>
        <w:t xml:space="preserve">Microbiology Department </w:t>
      </w:r>
      <w:proofErr w:type="gramStart"/>
      <w:r>
        <w:t>The</w:t>
      </w:r>
      <w:proofErr w:type="gramEnd"/>
      <w:r>
        <w:t xml:space="preserve"> Canberra Hospital Gilmore Crescent Garran ACT 2605 </w:t>
      </w:r>
    </w:p>
    <w:p w:rsidR="00174F09" w:rsidRDefault="001234B1" w:rsidP="00174F09">
      <w:pPr>
        <w:spacing w:after="0"/>
      </w:pPr>
      <w:r>
        <w:t xml:space="preserve">Telephone: +61 2 6244 2510 </w:t>
      </w:r>
    </w:p>
    <w:p w:rsidR="001234B1" w:rsidRDefault="001234B1" w:rsidP="001234B1">
      <w:r>
        <w:t xml:space="preserve">Email: peter.collignon@act.gov.au </w:t>
      </w:r>
    </w:p>
    <w:p w:rsidR="001234B1" w:rsidRPr="001234B1" w:rsidRDefault="001234B1" w:rsidP="001234B1">
      <w:pPr>
        <w:pStyle w:val="Heading2"/>
      </w:pPr>
      <w:r w:rsidRPr="001234B1">
        <w:t xml:space="preserve">New South Wales </w:t>
      </w:r>
    </w:p>
    <w:p w:rsidR="00174F09" w:rsidRDefault="001234B1" w:rsidP="00174F09">
      <w:pPr>
        <w:spacing w:after="0"/>
      </w:pPr>
      <w:r>
        <w:t xml:space="preserve">MM Lahra, RP Enriquez, EA </w:t>
      </w:r>
      <w:proofErr w:type="spellStart"/>
      <w:r>
        <w:t>Limnios</w:t>
      </w:r>
      <w:proofErr w:type="spellEnd"/>
      <w:r>
        <w:t xml:space="preserve">, TR Hogan, RL </w:t>
      </w:r>
      <w:proofErr w:type="spellStart"/>
      <w:r>
        <w:t>Kundu</w:t>
      </w:r>
      <w:proofErr w:type="spellEnd"/>
      <w:r>
        <w:t xml:space="preserve">, J El Nasser </w:t>
      </w:r>
    </w:p>
    <w:p w:rsidR="00174F09" w:rsidRDefault="001234B1" w:rsidP="00174F09">
      <w:pPr>
        <w:spacing w:after="0"/>
      </w:pPr>
      <w:r>
        <w:t xml:space="preserve">Microbiology Department, World Health Organisation Collaborating Centre for STI and AMR before Microbiology Department , New South Wales Health Pathology, The Prince of Wales Hospital Barker Street, Randwick NSW 2031 </w:t>
      </w:r>
    </w:p>
    <w:p w:rsidR="00174F09" w:rsidRDefault="001234B1" w:rsidP="00174F09">
      <w:pPr>
        <w:spacing w:after="0"/>
      </w:pPr>
      <w:r>
        <w:t xml:space="preserve">Telephone: +61 2 9382 9084 </w:t>
      </w:r>
    </w:p>
    <w:p w:rsidR="00174F09" w:rsidRDefault="001234B1" w:rsidP="00174F09">
      <w:pPr>
        <w:spacing w:after="0"/>
      </w:pPr>
      <w:r>
        <w:t xml:space="preserve">Facsimile: +61 2 9382 9310 </w:t>
      </w:r>
    </w:p>
    <w:p w:rsidR="001234B1" w:rsidRDefault="001234B1" w:rsidP="001234B1">
      <w:r>
        <w:t xml:space="preserve">Email: monica.lahra@health.nsw.gov.au </w:t>
      </w:r>
    </w:p>
    <w:p w:rsidR="00174F09" w:rsidRDefault="001234B1" w:rsidP="00174F09">
      <w:pPr>
        <w:spacing w:after="0"/>
      </w:pPr>
      <w:r>
        <w:t xml:space="preserve">M </w:t>
      </w:r>
      <w:proofErr w:type="spellStart"/>
      <w:r>
        <w:t>Maley</w:t>
      </w:r>
      <w:proofErr w:type="spellEnd"/>
      <w:r>
        <w:t xml:space="preserve">, J Mercer, R Porritt </w:t>
      </w:r>
    </w:p>
    <w:p w:rsidR="00174F09" w:rsidRDefault="001234B1" w:rsidP="00174F09">
      <w:pPr>
        <w:spacing w:after="0"/>
      </w:pPr>
      <w:r>
        <w:t xml:space="preserve">Department of Microbiology and Infectious Diseases New South Wales Health Pathology, Liverpool Hospital, Locked Mail Bag 7090 Liverpool BC NSW 1871 </w:t>
      </w:r>
    </w:p>
    <w:p w:rsidR="00174F09" w:rsidRDefault="001234B1" w:rsidP="00174F09">
      <w:pPr>
        <w:spacing w:after="0"/>
      </w:pPr>
      <w:r>
        <w:t xml:space="preserve">Telephone: +61 8738 5124 </w:t>
      </w:r>
    </w:p>
    <w:p w:rsidR="00174F09" w:rsidRDefault="001234B1" w:rsidP="00174F09">
      <w:pPr>
        <w:spacing w:after="0"/>
      </w:pPr>
      <w:r>
        <w:t xml:space="preserve">Facsimile: +61 2 8738 5129 </w:t>
      </w:r>
    </w:p>
    <w:p w:rsidR="001234B1" w:rsidRDefault="001234B1" w:rsidP="001234B1">
      <w:r>
        <w:t xml:space="preserve">Email: Joanne.Mercer@sswahs.nsw.gov.au or Robert.Porritt@sswahs.nsw.gov.au </w:t>
      </w:r>
    </w:p>
    <w:p w:rsidR="001234B1" w:rsidRPr="001234B1" w:rsidRDefault="001234B1" w:rsidP="001234B1">
      <w:pPr>
        <w:pStyle w:val="Heading2"/>
      </w:pPr>
      <w:r w:rsidRPr="001234B1">
        <w:t xml:space="preserve">Northern Territory </w:t>
      </w:r>
    </w:p>
    <w:p w:rsidR="00174F09" w:rsidRDefault="001234B1" w:rsidP="00174F09">
      <w:pPr>
        <w:spacing w:after="0"/>
      </w:pPr>
      <w:r>
        <w:t xml:space="preserve">R Baird, K Freeman </w:t>
      </w:r>
    </w:p>
    <w:p w:rsidR="00174F09" w:rsidRDefault="001234B1" w:rsidP="00174F09">
      <w:pPr>
        <w:spacing w:after="0"/>
      </w:pPr>
      <w:r>
        <w:t xml:space="preserve">Microbiology Department Territory Pathology Royal Darwin Hospital Rocklands Drive Tiwi NT 0810 </w:t>
      </w:r>
    </w:p>
    <w:p w:rsidR="00174F09" w:rsidRDefault="001234B1" w:rsidP="00174F09">
      <w:pPr>
        <w:spacing w:after="0"/>
      </w:pPr>
      <w:r>
        <w:t xml:space="preserve">Telephone: +61 8 8922 8167 </w:t>
      </w:r>
    </w:p>
    <w:p w:rsidR="00174F09" w:rsidRDefault="001234B1" w:rsidP="00174F09">
      <w:pPr>
        <w:spacing w:after="0"/>
      </w:pPr>
      <w:r>
        <w:t xml:space="preserve">Facsimile: +61 8 8922 7788 </w:t>
      </w:r>
    </w:p>
    <w:p w:rsidR="001234B1" w:rsidRDefault="001234B1" w:rsidP="001234B1">
      <w:r>
        <w:t xml:space="preserve">Email: rob.baird@nt.gov.au </w:t>
      </w:r>
    </w:p>
    <w:p w:rsidR="001234B1" w:rsidRPr="001234B1" w:rsidRDefault="001234B1" w:rsidP="001234B1">
      <w:pPr>
        <w:pStyle w:val="Heading2"/>
      </w:pPr>
      <w:r w:rsidRPr="001234B1">
        <w:t xml:space="preserve">Queensland </w:t>
      </w:r>
    </w:p>
    <w:p w:rsidR="00174F09" w:rsidRDefault="001234B1" w:rsidP="00174F09">
      <w:pPr>
        <w:spacing w:after="0"/>
      </w:pPr>
      <w:r>
        <w:t xml:space="preserve">G Robertson, J Bates, H Smith, V Hicks, A. Jennison, G. </w:t>
      </w:r>
      <w:proofErr w:type="spellStart"/>
      <w:r>
        <w:t>Micalizzi</w:t>
      </w:r>
      <w:proofErr w:type="spellEnd"/>
      <w:r>
        <w:t xml:space="preserve"> </w:t>
      </w:r>
    </w:p>
    <w:p w:rsidR="00174F09" w:rsidRDefault="001234B1" w:rsidP="00174F09">
      <w:pPr>
        <w:spacing w:after="0"/>
      </w:pPr>
      <w:r>
        <w:t xml:space="preserve">Public Health Microbiology Queensland Health Forensic and Scientific Services 39 </w:t>
      </w:r>
      <w:proofErr w:type="spellStart"/>
      <w:r>
        <w:t>Kessels</w:t>
      </w:r>
      <w:proofErr w:type="spellEnd"/>
      <w:r>
        <w:t xml:space="preserve"> Road Coopers Plains Qld 4108 </w:t>
      </w:r>
    </w:p>
    <w:p w:rsidR="00174F09" w:rsidRDefault="001234B1" w:rsidP="00174F09">
      <w:pPr>
        <w:spacing w:after="0"/>
      </w:pPr>
      <w:r>
        <w:t xml:space="preserve">Telephone: +61 7 3096 2825 </w:t>
      </w:r>
    </w:p>
    <w:p w:rsidR="00174F09" w:rsidRDefault="001234B1" w:rsidP="00174F09">
      <w:pPr>
        <w:spacing w:after="0"/>
      </w:pPr>
      <w:r>
        <w:lastRenderedPageBreak/>
        <w:t xml:space="preserve">Facsimile: +61 7 3096 2973+61 7 3274 9175 </w:t>
      </w:r>
    </w:p>
    <w:p w:rsidR="001234B1" w:rsidRDefault="001234B1" w:rsidP="001234B1">
      <w:r>
        <w:t xml:space="preserve">Email: Gino.Micalizzi@health.qld.gov.au </w:t>
      </w:r>
    </w:p>
    <w:p w:rsidR="001234B1" w:rsidRPr="001234B1" w:rsidRDefault="001234B1" w:rsidP="001234B1">
      <w:pPr>
        <w:pStyle w:val="Heading2"/>
      </w:pPr>
      <w:r w:rsidRPr="001234B1">
        <w:t xml:space="preserve">South Australia </w:t>
      </w:r>
    </w:p>
    <w:p w:rsidR="00174F09" w:rsidRDefault="001234B1" w:rsidP="00174F09">
      <w:pPr>
        <w:spacing w:after="0"/>
      </w:pPr>
      <w:r>
        <w:t xml:space="preserve">I Bastian, </w:t>
      </w:r>
      <w:proofErr w:type="gramStart"/>
      <w:r>
        <w:t>A</w:t>
      </w:r>
      <w:proofErr w:type="gramEnd"/>
      <w:r>
        <w:t xml:space="preserve"> Lawrence, J Holds </w:t>
      </w:r>
    </w:p>
    <w:p w:rsidR="00174F09" w:rsidRDefault="001234B1" w:rsidP="00174F09">
      <w:pPr>
        <w:spacing w:after="0"/>
      </w:pPr>
      <w:r>
        <w:t xml:space="preserve">SA Pathology Royal Adelaide Hospital Site. Microbiology and Infectious Diseases Royal Adelaide Hospital North Terrace, Adelaide, SA 5000 </w:t>
      </w:r>
    </w:p>
    <w:p w:rsidR="00174F09" w:rsidRDefault="001234B1" w:rsidP="00174F09">
      <w:pPr>
        <w:spacing w:after="0"/>
      </w:pPr>
      <w:r>
        <w:t xml:space="preserve">Telephone: +61 8 8222 3335 </w:t>
      </w:r>
    </w:p>
    <w:p w:rsidR="00174F09" w:rsidRDefault="001234B1" w:rsidP="00174F09">
      <w:pPr>
        <w:spacing w:after="0"/>
      </w:pPr>
      <w:r>
        <w:t xml:space="preserve">Facsimile: +61 8 2223543 </w:t>
      </w:r>
    </w:p>
    <w:p w:rsidR="001234B1" w:rsidRDefault="001234B1" w:rsidP="001234B1">
      <w:r>
        <w:t xml:space="preserve">Email: andrew.lawrence@health.sa.gov.au </w:t>
      </w:r>
    </w:p>
    <w:p w:rsidR="001234B1" w:rsidRPr="001234B1" w:rsidRDefault="001234B1" w:rsidP="001234B1">
      <w:pPr>
        <w:pStyle w:val="Heading2"/>
      </w:pPr>
      <w:r w:rsidRPr="001234B1">
        <w:t xml:space="preserve">Tasmania </w:t>
      </w:r>
    </w:p>
    <w:p w:rsidR="00174F09" w:rsidRDefault="001234B1" w:rsidP="00174F09">
      <w:pPr>
        <w:spacing w:after="0"/>
      </w:pPr>
      <w:r>
        <w:t xml:space="preserve">L Cooley, B McEwan </w:t>
      </w:r>
    </w:p>
    <w:p w:rsidR="00174F09" w:rsidRDefault="001234B1" w:rsidP="00174F09">
      <w:pPr>
        <w:spacing w:after="0"/>
      </w:pPr>
      <w:r>
        <w:t xml:space="preserve">Department of Microbiology and Infectious Diseases Royal Hobart Hospital 48 Liverpool Street Hobart Tasmania 7000 </w:t>
      </w:r>
    </w:p>
    <w:p w:rsidR="00174F09" w:rsidRDefault="001234B1" w:rsidP="00174F09">
      <w:pPr>
        <w:spacing w:after="0"/>
      </w:pPr>
      <w:r>
        <w:t xml:space="preserve">Telephone: +61 3 6222 8656 </w:t>
      </w:r>
    </w:p>
    <w:p w:rsidR="001234B1" w:rsidRDefault="001234B1" w:rsidP="001234B1">
      <w:r>
        <w:t xml:space="preserve">Email: belinda.mcewan@dhhs.tas.gov.au </w:t>
      </w:r>
    </w:p>
    <w:p w:rsidR="001234B1" w:rsidRPr="001234B1" w:rsidRDefault="001234B1" w:rsidP="001234B1">
      <w:pPr>
        <w:pStyle w:val="Heading2"/>
      </w:pPr>
      <w:r w:rsidRPr="001234B1">
        <w:t xml:space="preserve">Victoria </w:t>
      </w:r>
    </w:p>
    <w:p w:rsidR="00174F09" w:rsidRDefault="001234B1" w:rsidP="00174F09">
      <w:pPr>
        <w:spacing w:after="0"/>
      </w:pPr>
      <w:r>
        <w:t xml:space="preserve">B Howden, K Stevens </w:t>
      </w:r>
    </w:p>
    <w:p w:rsidR="00174F09" w:rsidRDefault="001234B1" w:rsidP="00174F09">
      <w:pPr>
        <w:spacing w:after="0"/>
      </w:pPr>
      <w:r>
        <w:t xml:space="preserve">Microbiological Diagnostic Unit Public Health Laboratory Department of Microbiology and Immunology </w:t>
      </w:r>
      <w:proofErr w:type="gramStart"/>
      <w:r>
        <w:t>The</w:t>
      </w:r>
      <w:proofErr w:type="gramEnd"/>
      <w:r>
        <w:t xml:space="preserve"> Peter Doherty Institute The University of Melbourne Parkville Victoria 3052 </w:t>
      </w:r>
    </w:p>
    <w:p w:rsidR="00174F09" w:rsidRDefault="001234B1" w:rsidP="00174F09">
      <w:pPr>
        <w:spacing w:after="0"/>
      </w:pPr>
      <w:r>
        <w:t xml:space="preserve">Telephone: +61 3 8344 5713 </w:t>
      </w:r>
    </w:p>
    <w:p w:rsidR="00174F09" w:rsidRDefault="001234B1" w:rsidP="00174F09">
      <w:pPr>
        <w:spacing w:after="0"/>
      </w:pPr>
      <w:r>
        <w:t xml:space="preserve">Facsimile: +61 3 8344 7833 </w:t>
      </w:r>
    </w:p>
    <w:p w:rsidR="001234B1" w:rsidRDefault="001234B1" w:rsidP="001234B1">
      <w:r>
        <w:t xml:space="preserve">Email: kerries@unimelb.edu.au </w:t>
      </w:r>
    </w:p>
    <w:p w:rsidR="001234B1" w:rsidRPr="001234B1" w:rsidRDefault="001234B1" w:rsidP="001234B1">
      <w:pPr>
        <w:pStyle w:val="Heading2"/>
      </w:pPr>
      <w:r w:rsidRPr="001234B1">
        <w:t xml:space="preserve">Western Australia </w:t>
      </w:r>
    </w:p>
    <w:p w:rsidR="00174F09" w:rsidRDefault="001234B1" w:rsidP="00174F09">
      <w:pPr>
        <w:spacing w:after="0"/>
      </w:pPr>
      <w:r>
        <w:t xml:space="preserve">AD </w:t>
      </w:r>
      <w:proofErr w:type="spellStart"/>
      <w:r>
        <w:t>Keil</w:t>
      </w:r>
      <w:proofErr w:type="spellEnd"/>
      <w:r>
        <w:t xml:space="preserve">, J Bew </w:t>
      </w:r>
    </w:p>
    <w:p w:rsidR="00174F09" w:rsidRDefault="001234B1" w:rsidP="00174F09">
      <w:pPr>
        <w:spacing w:after="0"/>
      </w:pPr>
      <w:r>
        <w:t xml:space="preserve">Department of Microbiology QEII Medical Centre, PP Block Level 5 </w:t>
      </w:r>
      <w:proofErr w:type="spellStart"/>
      <w:r>
        <w:t>PathWest</w:t>
      </w:r>
      <w:proofErr w:type="spellEnd"/>
      <w:r>
        <w:t xml:space="preserve"> Laboratory Medicine WA Hospital Avenue Nedlands, WA 6009 </w:t>
      </w:r>
    </w:p>
    <w:p w:rsidR="00174F09" w:rsidRDefault="001234B1" w:rsidP="00174F09">
      <w:pPr>
        <w:spacing w:after="0"/>
      </w:pPr>
      <w:r>
        <w:t xml:space="preserve">Telephone: +61 8 6383 4501 </w:t>
      </w:r>
    </w:p>
    <w:p w:rsidR="00174F09" w:rsidRDefault="001234B1" w:rsidP="00174F09">
      <w:pPr>
        <w:spacing w:after="0"/>
      </w:pPr>
      <w:r>
        <w:t xml:space="preserve">Facsimile: +61 8 9382 8046 </w:t>
      </w:r>
    </w:p>
    <w:p w:rsidR="001234B1" w:rsidRDefault="001234B1" w:rsidP="001234B1">
      <w:r>
        <w:t xml:space="preserve">Email: tony.keil@health.wa.gov.au or jane.bew@health.wa.gov.au </w:t>
      </w:r>
    </w:p>
    <w:p w:rsidR="00174F09" w:rsidRDefault="00174F09">
      <w:pPr>
        <w:rPr>
          <w:rFonts w:asciiTheme="majorHAnsi" w:eastAsiaTheme="majorEastAsia" w:hAnsiTheme="majorHAnsi" w:cstheme="majorBidi"/>
          <w:b/>
          <w:bCs/>
          <w:sz w:val="32"/>
          <w:szCs w:val="28"/>
        </w:rPr>
      </w:pPr>
      <w:r>
        <w:br w:type="page"/>
      </w:r>
    </w:p>
    <w:p w:rsidR="001234B1" w:rsidRPr="001234B1" w:rsidRDefault="001234B1" w:rsidP="001234B1">
      <w:pPr>
        <w:pStyle w:val="Heading1"/>
      </w:pPr>
      <w:r w:rsidRPr="001234B1">
        <w:lastRenderedPageBreak/>
        <w:t xml:space="preserve">Author details </w:t>
      </w:r>
    </w:p>
    <w:p w:rsidR="001234B1" w:rsidRDefault="001234B1" w:rsidP="001234B1">
      <w:r>
        <w:t>Monica M Lahra</w:t>
      </w:r>
      <w:r>
        <w:rPr>
          <w:vertAlign w:val="superscript"/>
        </w:rPr>
        <w:t xml:space="preserve">1, 2 </w:t>
      </w:r>
      <w:r>
        <w:t>Rodney Enriquez</w:t>
      </w:r>
      <w:r>
        <w:rPr>
          <w:vertAlign w:val="superscript"/>
        </w:rPr>
        <w:t xml:space="preserve">1 </w:t>
      </w:r>
      <w:r>
        <w:t>Tiffany Hogan</w:t>
      </w:r>
      <w:r>
        <w:rPr>
          <w:vertAlign w:val="superscript"/>
        </w:rPr>
        <w:t>1</w:t>
      </w:r>
      <w:r>
        <w:t xml:space="preserve"> </w:t>
      </w:r>
    </w:p>
    <w:p w:rsidR="001234B1" w:rsidRPr="001234B1" w:rsidRDefault="001234B1" w:rsidP="001234B1">
      <w:pPr>
        <w:pStyle w:val="ListParagraph"/>
        <w:numPr>
          <w:ilvl w:val="0"/>
          <w:numId w:val="9"/>
        </w:numPr>
        <w:rPr>
          <w:rFonts w:eastAsia="Times New Roman"/>
        </w:rPr>
      </w:pPr>
      <w:r w:rsidRPr="001234B1">
        <w:rPr>
          <w:rFonts w:eastAsia="Times New Roman"/>
        </w:rPr>
        <w:t xml:space="preserve">Neisseria Reference Laboratory and World Health Organisation Collaborating Centre for STI and AMR, Sydney. Department of Microbiology, New South Wales Health Pathology, The Prince of Wales Hospital, Randwick, 2031, NSW Australia </w:t>
      </w:r>
    </w:p>
    <w:p w:rsidR="001234B1" w:rsidRPr="001234B1" w:rsidRDefault="001234B1" w:rsidP="001234B1">
      <w:pPr>
        <w:pStyle w:val="ListParagraph"/>
        <w:numPr>
          <w:ilvl w:val="0"/>
          <w:numId w:val="9"/>
        </w:numPr>
        <w:rPr>
          <w:rFonts w:eastAsia="Times New Roman"/>
        </w:rPr>
      </w:pPr>
      <w:r w:rsidRPr="001234B1">
        <w:rPr>
          <w:rFonts w:eastAsia="Times New Roman"/>
        </w:rPr>
        <w:t xml:space="preserve">School of Medical Sciences, Faculty of Medicine, The University of New South Wales, NSW, 2052 Australia </w:t>
      </w:r>
    </w:p>
    <w:p w:rsidR="001234B1" w:rsidRPr="001234B1" w:rsidRDefault="001234B1" w:rsidP="001234B1">
      <w:pPr>
        <w:pStyle w:val="Heading2"/>
      </w:pPr>
      <w:r w:rsidRPr="001234B1">
        <w:t xml:space="preserve">Corresponding author </w:t>
      </w:r>
    </w:p>
    <w:p w:rsidR="001234B1" w:rsidRDefault="001234B1" w:rsidP="001234B1">
      <w:r>
        <w:t xml:space="preserve">Professor Monica Lahra </w:t>
      </w:r>
    </w:p>
    <w:p w:rsidR="001234B1" w:rsidRDefault="001234B1" w:rsidP="001234B1">
      <w:r>
        <w:t xml:space="preserve">Director, World Health Organisation Collaborating Centre for STI and AMR, Microbiology Department, Neisseria Reference Laboratory and WHO Collaborating Centre for STI and AMR, New South Wales Health Pathology, Level 4, Campus Centre, The Prince of Wales Hospital, RANDWICK NSW, 2031. </w:t>
      </w:r>
    </w:p>
    <w:p w:rsidR="001234B1" w:rsidRDefault="001234B1" w:rsidP="001234B1">
      <w:r>
        <w:t xml:space="preserve">Email: monica.lahra@health.nsw.gov.au </w:t>
      </w:r>
    </w:p>
    <w:p w:rsidR="00174F09" w:rsidRDefault="00174F09">
      <w:pPr>
        <w:rPr>
          <w:rFonts w:asciiTheme="majorHAnsi" w:eastAsiaTheme="majorEastAsia" w:hAnsiTheme="majorHAnsi" w:cstheme="majorBidi"/>
          <w:b/>
          <w:bCs/>
          <w:sz w:val="32"/>
          <w:szCs w:val="28"/>
        </w:rPr>
      </w:pPr>
      <w:r>
        <w:br w:type="page"/>
      </w:r>
    </w:p>
    <w:p w:rsidR="001234B1" w:rsidRPr="001234B1" w:rsidRDefault="001234B1" w:rsidP="001234B1">
      <w:pPr>
        <w:pStyle w:val="Heading1"/>
      </w:pPr>
      <w:r w:rsidRPr="001234B1">
        <w:lastRenderedPageBreak/>
        <w:t xml:space="preserve">References </w:t>
      </w:r>
    </w:p>
    <w:p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National Neisseria Network. Meningococcal isolate surveillance Australia 1994. </w:t>
      </w:r>
      <w:proofErr w:type="spellStart"/>
      <w:r w:rsidRPr="004C6AE3">
        <w:rPr>
          <w:rStyle w:val="Emphasis"/>
          <w:rFonts w:eastAsia="Times New Roman"/>
          <w:b w:val="0"/>
        </w:rPr>
        <w:t>Commun</w:t>
      </w:r>
      <w:proofErr w:type="spellEnd"/>
      <w:r w:rsidRPr="004C6AE3">
        <w:rPr>
          <w:rStyle w:val="Emphasis"/>
          <w:rFonts w:eastAsia="Times New Roman"/>
          <w:b w:val="0"/>
        </w:rPr>
        <w:t xml:space="preserve"> Dis </w:t>
      </w:r>
      <w:proofErr w:type="spellStart"/>
      <w:r w:rsidRPr="004C6AE3">
        <w:rPr>
          <w:rStyle w:val="Emphasis"/>
          <w:rFonts w:eastAsia="Times New Roman"/>
          <w:b w:val="0"/>
        </w:rPr>
        <w:t>Intell</w:t>
      </w:r>
      <w:proofErr w:type="spellEnd"/>
      <w:r>
        <w:rPr>
          <w:rFonts w:eastAsia="Times New Roman"/>
        </w:rPr>
        <w:t>. 1995</w:t>
      </w:r>
      <w:proofErr w:type="gramStart"/>
      <w:r>
        <w:rPr>
          <w:rFonts w:eastAsia="Times New Roman"/>
        </w:rPr>
        <w:t>;19</w:t>
      </w:r>
      <w:proofErr w:type="gramEnd"/>
      <w:r>
        <w:rPr>
          <w:rFonts w:eastAsia="Times New Roman"/>
        </w:rPr>
        <w:t xml:space="preserve">(12)286–9. </w:t>
      </w:r>
    </w:p>
    <w:p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National Notifiable Disease Surveillance System (NNDSS). [Internet.] Australian Government Department of </w:t>
      </w:r>
      <w:proofErr w:type="spellStart"/>
      <w:r>
        <w:rPr>
          <w:rFonts w:eastAsia="Times New Roman"/>
        </w:rPr>
        <w:t>Heath</w:t>
      </w:r>
      <w:proofErr w:type="spellEnd"/>
      <w:r>
        <w:rPr>
          <w:rFonts w:eastAsia="Times New Roman"/>
        </w:rPr>
        <w:t>, 2019. Available from: http://www9.health.gov.au/cda/source/cda-</w:t>
      </w:r>
      <w:proofErr w:type="gramStart"/>
      <w:r>
        <w:rPr>
          <w:rFonts w:eastAsia="Times New Roman"/>
        </w:rPr>
        <w:t>index.cfm .</w:t>
      </w:r>
      <w:proofErr w:type="gramEnd"/>
      <w:r>
        <w:rPr>
          <w:rFonts w:eastAsia="Times New Roman"/>
        </w:rPr>
        <w:t xml:space="preserve"> </w:t>
      </w:r>
    </w:p>
    <w:p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NNDSS. Number of notifications of Meningococcal disease (invasive), received from state and territory health authorities in the period of 1991 to 2012 and year-to-date notifications for 2014. [Internet.] Australian Government Department of Health, NNDSS, 2014. </w:t>
      </w:r>
    </w:p>
    <w:p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Australian Government Department of Health. Meningococcal Disease (Invasive). [Internet.] Australian Government Department of Health, 2019. Available from: https://www.health.gov.au/internet/main/publishing.nsf/Content/ohp-meningococcal-</w:t>
      </w:r>
      <w:proofErr w:type="gramStart"/>
      <w:r>
        <w:rPr>
          <w:rFonts w:eastAsia="Times New Roman"/>
        </w:rPr>
        <w:t>W.htm .</w:t>
      </w:r>
      <w:proofErr w:type="gramEnd"/>
      <w:r>
        <w:rPr>
          <w:rFonts w:eastAsia="Times New Roman"/>
        </w:rPr>
        <w:t xml:space="preserve"> </w:t>
      </w:r>
    </w:p>
    <w:p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Communicable Diseases Network Australia. Invasive Meningococcal Disease: CDNA National Guidelines for Public Health Units. [Internet.] Australian Government Department of Health, 2017. Available from: http://www.health.gov.au/internet/main/publishing.nsf/content/cdna-song-imd.htm. </w:t>
      </w:r>
    </w:p>
    <w:p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Abad R, </w:t>
      </w:r>
      <w:proofErr w:type="spellStart"/>
      <w:r>
        <w:rPr>
          <w:rFonts w:eastAsia="Times New Roman"/>
        </w:rPr>
        <w:t>López</w:t>
      </w:r>
      <w:proofErr w:type="spellEnd"/>
      <w:r>
        <w:rPr>
          <w:rFonts w:eastAsia="Times New Roman"/>
        </w:rPr>
        <w:t xml:space="preserve"> EL, </w:t>
      </w:r>
      <w:proofErr w:type="spellStart"/>
      <w:r>
        <w:rPr>
          <w:rFonts w:eastAsia="Times New Roman"/>
        </w:rPr>
        <w:t>Debbag</w:t>
      </w:r>
      <w:proofErr w:type="spellEnd"/>
      <w:r>
        <w:rPr>
          <w:rFonts w:eastAsia="Times New Roman"/>
        </w:rPr>
        <w:t xml:space="preserve"> R, Vázquez JA. </w:t>
      </w:r>
      <w:proofErr w:type="spellStart"/>
      <w:r>
        <w:rPr>
          <w:rFonts w:eastAsia="Times New Roman"/>
        </w:rPr>
        <w:t>Serogroup</w:t>
      </w:r>
      <w:proofErr w:type="spellEnd"/>
      <w:r>
        <w:rPr>
          <w:rFonts w:eastAsia="Times New Roman"/>
        </w:rPr>
        <w:t xml:space="preserve"> W meningococcal disease: global spread and current </w:t>
      </w:r>
      <w:proofErr w:type="spellStart"/>
      <w:r>
        <w:rPr>
          <w:rFonts w:eastAsia="Times New Roman"/>
        </w:rPr>
        <w:t>affect</w:t>
      </w:r>
      <w:proofErr w:type="spellEnd"/>
      <w:r>
        <w:rPr>
          <w:rFonts w:eastAsia="Times New Roman"/>
        </w:rPr>
        <w:t xml:space="preserve"> on the Southern Cone in Latin America. </w:t>
      </w:r>
      <w:proofErr w:type="spellStart"/>
      <w:r w:rsidRPr="00174F09">
        <w:rPr>
          <w:rFonts w:eastAsia="Times New Roman"/>
          <w:i/>
        </w:rPr>
        <w:t>Epidemiol</w:t>
      </w:r>
      <w:proofErr w:type="spellEnd"/>
      <w:r w:rsidRPr="00174F09">
        <w:rPr>
          <w:rFonts w:eastAsia="Times New Roman"/>
          <w:i/>
        </w:rPr>
        <w:t xml:space="preserve"> Infect</w:t>
      </w:r>
      <w:r>
        <w:rPr>
          <w:rFonts w:eastAsia="Times New Roman"/>
        </w:rPr>
        <w:t>. 2014</w:t>
      </w:r>
      <w:proofErr w:type="gramStart"/>
      <w:r>
        <w:rPr>
          <w:rFonts w:eastAsia="Times New Roman"/>
        </w:rPr>
        <w:t>;142</w:t>
      </w:r>
      <w:proofErr w:type="gramEnd"/>
      <w:r>
        <w:rPr>
          <w:rFonts w:eastAsia="Times New Roman"/>
        </w:rPr>
        <w:t xml:space="preserve">(12):2461–70. </w:t>
      </w:r>
    </w:p>
    <w:p w:rsidR="001234B1" w:rsidRDefault="001234B1" w:rsidP="001234B1">
      <w:pPr>
        <w:numPr>
          <w:ilvl w:val="0"/>
          <w:numId w:val="8"/>
        </w:numPr>
        <w:spacing w:before="100" w:beforeAutospacing="1" w:after="100" w:afterAutospacing="1" w:line="240" w:lineRule="auto"/>
        <w:rPr>
          <w:rFonts w:eastAsia="Times New Roman"/>
        </w:rPr>
      </w:pPr>
      <w:proofErr w:type="spellStart"/>
      <w:r>
        <w:rPr>
          <w:rFonts w:eastAsia="Times New Roman"/>
        </w:rPr>
        <w:t>Ladhani</w:t>
      </w:r>
      <w:proofErr w:type="spellEnd"/>
      <w:r>
        <w:rPr>
          <w:rFonts w:eastAsia="Times New Roman"/>
        </w:rPr>
        <w:t xml:space="preserve"> SN, </w:t>
      </w:r>
      <w:proofErr w:type="spellStart"/>
      <w:r>
        <w:rPr>
          <w:rFonts w:eastAsia="Times New Roman"/>
        </w:rPr>
        <w:t>Beebeejaun</w:t>
      </w:r>
      <w:proofErr w:type="spellEnd"/>
      <w:r>
        <w:rPr>
          <w:rFonts w:eastAsia="Times New Roman"/>
        </w:rPr>
        <w:t xml:space="preserve"> K, </w:t>
      </w:r>
      <w:proofErr w:type="spellStart"/>
      <w:r>
        <w:rPr>
          <w:rFonts w:eastAsia="Times New Roman"/>
        </w:rPr>
        <w:t>Lucidarme</w:t>
      </w:r>
      <w:proofErr w:type="spellEnd"/>
      <w:r>
        <w:rPr>
          <w:rFonts w:eastAsia="Times New Roman"/>
        </w:rPr>
        <w:t xml:space="preserve"> J, Campbell H, </w:t>
      </w:r>
      <w:proofErr w:type="spellStart"/>
      <w:r>
        <w:rPr>
          <w:rFonts w:eastAsia="Times New Roman"/>
        </w:rPr>
        <w:t>Gray</w:t>
      </w:r>
      <w:proofErr w:type="spellEnd"/>
      <w:r>
        <w:rPr>
          <w:rFonts w:eastAsia="Times New Roman"/>
        </w:rPr>
        <w:t xml:space="preserve"> S, Kaczmarski E, et al. Increase in endemic </w:t>
      </w:r>
      <w:r w:rsidRPr="004C6AE3">
        <w:rPr>
          <w:rStyle w:val="Emphasis"/>
          <w:rFonts w:eastAsia="Times New Roman"/>
          <w:b w:val="0"/>
        </w:rPr>
        <w:t xml:space="preserve">Neisseria </w:t>
      </w:r>
      <w:proofErr w:type="spellStart"/>
      <w:r w:rsidRPr="004C6AE3">
        <w:rPr>
          <w:rStyle w:val="Emphasis"/>
          <w:rFonts w:eastAsia="Times New Roman"/>
          <w:b w:val="0"/>
        </w:rPr>
        <w:t>meningitidis</w:t>
      </w:r>
      <w:proofErr w:type="spellEnd"/>
      <w:r>
        <w:rPr>
          <w:rFonts w:eastAsia="Times New Roman"/>
        </w:rPr>
        <w:t xml:space="preserve"> capsular group W sequence type 11 complex associated with severe invasive disease in England and Wales. </w:t>
      </w:r>
      <w:proofErr w:type="spellStart"/>
      <w:r w:rsidRPr="004C6AE3">
        <w:rPr>
          <w:rStyle w:val="Emphasis"/>
          <w:rFonts w:eastAsia="Times New Roman"/>
          <w:b w:val="0"/>
        </w:rPr>
        <w:t>Clin</w:t>
      </w:r>
      <w:proofErr w:type="spellEnd"/>
      <w:r w:rsidRPr="004C6AE3">
        <w:rPr>
          <w:rStyle w:val="Emphasis"/>
          <w:rFonts w:eastAsia="Times New Roman"/>
          <w:b w:val="0"/>
        </w:rPr>
        <w:t xml:space="preserve"> Infect Dis</w:t>
      </w:r>
      <w:r>
        <w:rPr>
          <w:rFonts w:eastAsia="Times New Roman"/>
        </w:rPr>
        <w:t>. 2015</w:t>
      </w:r>
      <w:proofErr w:type="gramStart"/>
      <w:r>
        <w:rPr>
          <w:rFonts w:eastAsia="Times New Roman"/>
        </w:rPr>
        <w:t>;60</w:t>
      </w:r>
      <w:proofErr w:type="gramEnd"/>
      <w:r>
        <w:rPr>
          <w:rFonts w:eastAsia="Times New Roman"/>
        </w:rPr>
        <w:t xml:space="preserve">(4):578–85. </w:t>
      </w:r>
    </w:p>
    <w:p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Chiu C, Dey A, Wang H, Menzies R, </w:t>
      </w:r>
      <w:proofErr w:type="spellStart"/>
      <w:r>
        <w:rPr>
          <w:rFonts w:eastAsia="Times New Roman"/>
        </w:rPr>
        <w:t>Deeks</w:t>
      </w:r>
      <w:proofErr w:type="spellEnd"/>
      <w:r>
        <w:rPr>
          <w:rFonts w:eastAsia="Times New Roman"/>
        </w:rPr>
        <w:t xml:space="preserve"> S, Mahajan D et al. Vaccine preventable diseases in Australia, 2005 to 2007. </w:t>
      </w:r>
      <w:proofErr w:type="spellStart"/>
      <w:r w:rsidRPr="004C6AE3">
        <w:rPr>
          <w:rStyle w:val="Emphasis"/>
          <w:rFonts w:eastAsia="Times New Roman"/>
          <w:b w:val="0"/>
        </w:rPr>
        <w:t>Commun</w:t>
      </w:r>
      <w:proofErr w:type="spellEnd"/>
      <w:r w:rsidRPr="004C6AE3">
        <w:rPr>
          <w:rStyle w:val="Emphasis"/>
          <w:rFonts w:eastAsia="Times New Roman"/>
          <w:b w:val="0"/>
        </w:rPr>
        <w:t xml:space="preserve"> Dis </w:t>
      </w:r>
      <w:proofErr w:type="spellStart"/>
      <w:r w:rsidRPr="004C6AE3">
        <w:rPr>
          <w:rStyle w:val="Emphasis"/>
          <w:rFonts w:eastAsia="Times New Roman"/>
          <w:b w:val="0"/>
        </w:rPr>
        <w:t>Intell</w:t>
      </w:r>
      <w:proofErr w:type="spellEnd"/>
      <w:r w:rsidRPr="004C6AE3">
        <w:rPr>
          <w:rStyle w:val="Emphasis"/>
          <w:rFonts w:eastAsia="Times New Roman"/>
          <w:b w:val="0"/>
        </w:rPr>
        <w:t xml:space="preserve"> Q Rep</w:t>
      </w:r>
      <w:r>
        <w:rPr>
          <w:rFonts w:eastAsia="Times New Roman"/>
        </w:rPr>
        <w:t>. 2010</w:t>
      </w:r>
      <w:proofErr w:type="gramStart"/>
      <w:r>
        <w:rPr>
          <w:rFonts w:eastAsia="Times New Roman"/>
        </w:rPr>
        <w:t>;34:S1</w:t>
      </w:r>
      <w:proofErr w:type="gramEnd"/>
      <w:r>
        <w:rPr>
          <w:rFonts w:eastAsia="Times New Roman"/>
        </w:rPr>
        <w:t xml:space="preserve">–167. </w:t>
      </w:r>
    </w:p>
    <w:p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Meningococcal Disease. Immunise Australia Program. [Internet.] Australian Government Department of </w:t>
      </w:r>
      <w:proofErr w:type="spellStart"/>
      <w:r>
        <w:rPr>
          <w:rFonts w:eastAsia="Times New Roman"/>
        </w:rPr>
        <w:t>Heath</w:t>
      </w:r>
      <w:proofErr w:type="spellEnd"/>
      <w:r>
        <w:rPr>
          <w:rFonts w:eastAsia="Times New Roman"/>
        </w:rPr>
        <w:t>, 2015. Available from: http://www.health.gov.au/internet/immunise/publishing.nsf/Content/immunise-meningococcal</w:t>
      </w:r>
    </w:p>
    <w:p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Araya P, </w:t>
      </w:r>
      <w:proofErr w:type="spellStart"/>
      <w:r>
        <w:rPr>
          <w:rFonts w:eastAsia="Times New Roman"/>
        </w:rPr>
        <w:t>Fernández</w:t>
      </w:r>
      <w:proofErr w:type="spellEnd"/>
      <w:r>
        <w:rPr>
          <w:rFonts w:eastAsia="Times New Roman"/>
        </w:rPr>
        <w:t xml:space="preserve"> J, Del Canto F, </w:t>
      </w:r>
      <w:proofErr w:type="spellStart"/>
      <w:r>
        <w:rPr>
          <w:rFonts w:eastAsia="Times New Roman"/>
        </w:rPr>
        <w:t>Seoane</w:t>
      </w:r>
      <w:proofErr w:type="spellEnd"/>
      <w:r>
        <w:rPr>
          <w:rFonts w:eastAsia="Times New Roman"/>
        </w:rPr>
        <w:t xml:space="preserve"> M, </w:t>
      </w:r>
      <w:proofErr w:type="spellStart"/>
      <w:r>
        <w:rPr>
          <w:rFonts w:eastAsia="Times New Roman"/>
        </w:rPr>
        <w:t>Ibarz-Pavón</w:t>
      </w:r>
      <w:proofErr w:type="spellEnd"/>
      <w:r>
        <w:rPr>
          <w:rFonts w:eastAsia="Times New Roman"/>
        </w:rPr>
        <w:t xml:space="preserve"> AB, Barra G, </w:t>
      </w:r>
      <w:proofErr w:type="spellStart"/>
      <w:r>
        <w:rPr>
          <w:rFonts w:eastAsia="Times New Roman"/>
        </w:rPr>
        <w:t>Pidal</w:t>
      </w:r>
      <w:proofErr w:type="spellEnd"/>
      <w:r>
        <w:rPr>
          <w:rFonts w:eastAsia="Times New Roman"/>
        </w:rPr>
        <w:t xml:space="preserve"> P et al. </w:t>
      </w:r>
      <w:r w:rsidRPr="004C6AE3">
        <w:rPr>
          <w:rStyle w:val="Emphasis"/>
          <w:rFonts w:eastAsia="Times New Roman"/>
          <w:b w:val="0"/>
        </w:rPr>
        <w:t xml:space="preserve">Neisseria </w:t>
      </w:r>
      <w:proofErr w:type="spellStart"/>
      <w:r w:rsidRPr="004C6AE3">
        <w:rPr>
          <w:rStyle w:val="Emphasis"/>
          <w:rFonts w:eastAsia="Times New Roman"/>
          <w:b w:val="0"/>
        </w:rPr>
        <w:t>meningitidis</w:t>
      </w:r>
      <w:proofErr w:type="spellEnd"/>
      <w:r>
        <w:rPr>
          <w:rFonts w:eastAsia="Times New Roman"/>
        </w:rPr>
        <w:t xml:space="preserve"> ST-11 clonal complex, Chile 2012. </w:t>
      </w:r>
      <w:proofErr w:type="spellStart"/>
      <w:r w:rsidRPr="004C6AE3">
        <w:rPr>
          <w:rStyle w:val="Emphasis"/>
          <w:rFonts w:eastAsia="Times New Roman"/>
          <w:b w:val="0"/>
        </w:rPr>
        <w:t>Emerg</w:t>
      </w:r>
      <w:proofErr w:type="spellEnd"/>
      <w:r w:rsidRPr="004C6AE3">
        <w:rPr>
          <w:rStyle w:val="Emphasis"/>
          <w:rFonts w:eastAsia="Times New Roman"/>
          <w:b w:val="0"/>
        </w:rPr>
        <w:t xml:space="preserve"> Infect Dis</w:t>
      </w:r>
      <w:r>
        <w:rPr>
          <w:rFonts w:eastAsia="Times New Roman"/>
        </w:rPr>
        <w:t>. 2015</w:t>
      </w:r>
      <w:proofErr w:type="gramStart"/>
      <w:r>
        <w:rPr>
          <w:rFonts w:eastAsia="Times New Roman"/>
        </w:rPr>
        <w:t>;21</w:t>
      </w:r>
      <w:proofErr w:type="gramEnd"/>
      <w:r>
        <w:rPr>
          <w:rFonts w:eastAsia="Times New Roman"/>
        </w:rPr>
        <w:t xml:space="preserve">(2):339–41. </w:t>
      </w:r>
    </w:p>
    <w:p w:rsidR="001234B1" w:rsidRDefault="001234B1" w:rsidP="001234B1">
      <w:pPr>
        <w:numPr>
          <w:ilvl w:val="0"/>
          <w:numId w:val="8"/>
        </w:numPr>
        <w:spacing w:before="100" w:beforeAutospacing="1" w:after="100" w:afterAutospacing="1" w:line="240" w:lineRule="auto"/>
        <w:rPr>
          <w:rFonts w:eastAsia="Times New Roman"/>
        </w:rPr>
      </w:pPr>
      <w:proofErr w:type="spellStart"/>
      <w:r>
        <w:rPr>
          <w:rFonts w:eastAsia="Times New Roman"/>
        </w:rPr>
        <w:t>Bröker</w:t>
      </w:r>
      <w:proofErr w:type="spellEnd"/>
      <w:r>
        <w:rPr>
          <w:rFonts w:eastAsia="Times New Roman"/>
        </w:rPr>
        <w:t xml:space="preserve"> M, </w:t>
      </w:r>
      <w:proofErr w:type="spellStart"/>
      <w:r>
        <w:rPr>
          <w:rFonts w:eastAsia="Times New Roman"/>
        </w:rPr>
        <w:t>Jacobsson</w:t>
      </w:r>
      <w:proofErr w:type="spellEnd"/>
      <w:r>
        <w:rPr>
          <w:rFonts w:eastAsia="Times New Roman"/>
        </w:rPr>
        <w:t xml:space="preserve"> S, </w:t>
      </w:r>
      <w:proofErr w:type="spellStart"/>
      <w:r>
        <w:rPr>
          <w:rFonts w:eastAsia="Times New Roman"/>
        </w:rPr>
        <w:t>Kuusi</w:t>
      </w:r>
      <w:proofErr w:type="spellEnd"/>
      <w:r>
        <w:rPr>
          <w:rFonts w:eastAsia="Times New Roman"/>
        </w:rPr>
        <w:t xml:space="preserve"> M, Pace D, </w:t>
      </w:r>
      <w:proofErr w:type="spellStart"/>
      <w:r>
        <w:rPr>
          <w:rFonts w:eastAsia="Times New Roman"/>
        </w:rPr>
        <w:t>Simões</w:t>
      </w:r>
      <w:proofErr w:type="spellEnd"/>
      <w:r>
        <w:rPr>
          <w:rFonts w:eastAsia="Times New Roman"/>
        </w:rPr>
        <w:t xml:space="preserve"> MJ, </w:t>
      </w:r>
      <w:proofErr w:type="spellStart"/>
      <w:r>
        <w:rPr>
          <w:rFonts w:eastAsia="Times New Roman"/>
        </w:rPr>
        <w:t>Skoczynska</w:t>
      </w:r>
      <w:proofErr w:type="spellEnd"/>
      <w:r>
        <w:rPr>
          <w:rFonts w:eastAsia="Times New Roman"/>
        </w:rPr>
        <w:t xml:space="preserve"> </w:t>
      </w:r>
      <w:proofErr w:type="gramStart"/>
      <w:r>
        <w:rPr>
          <w:rFonts w:eastAsia="Times New Roman"/>
        </w:rPr>
        <w:t>A</w:t>
      </w:r>
      <w:proofErr w:type="gramEnd"/>
      <w:r>
        <w:rPr>
          <w:rFonts w:eastAsia="Times New Roman"/>
        </w:rPr>
        <w:t xml:space="preserve"> et al. Meningococcal </w:t>
      </w:r>
      <w:proofErr w:type="spellStart"/>
      <w:r>
        <w:rPr>
          <w:rFonts w:eastAsia="Times New Roman"/>
        </w:rPr>
        <w:t>serogroup</w:t>
      </w:r>
      <w:proofErr w:type="spellEnd"/>
      <w:r>
        <w:rPr>
          <w:rFonts w:eastAsia="Times New Roman"/>
        </w:rPr>
        <w:t xml:space="preserve"> Y emergence in Europe: update 2011. </w:t>
      </w:r>
      <w:r w:rsidRPr="004C6AE3">
        <w:rPr>
          <w:rStyle w:val="Emphasis"/>
          <w:rFonts w:eastAsia="Times New Roman"/>
          <w:b w:val="0"/>
        </w:rPr>
        <w:t xml:space="preserve">Hum </w:t>
      </w:r>
      <w:proofErr w:type="spellStart"/>
      <w:r w:rsidRPr="004C6AE3">
        <w:rPr>
          <w:rStyle w:val="Emphasis"/>
          <w:rFonts w:eastAsia="Times New Roman"/>
          <w:b w:val="0"/>
        </w:rPr>
        <w:t>Vaccin</w:t>
      </w:r>
      <w:proofErr w:type="spellEnd"/>
      <w:r w:rsidRPr="004C6AE3">
        <w:rPr>
          <w:rStyle w:val="Emphasis"/>
          <w:rFonts w:eastAsia="Times New Roman"/>
          <w:b w:val="0"/>
        </w:rPr>
        <w:t xml:space="preserve"> </w:t>
      </w:r>
      <w:proofErr w:type="spellStart"/>
      <w:r w:rsidRPr="004C6AE3">
        <w:rPr>
          <w:rStyle w:val="Emphasis"/>
          <w:rFonts w:eastAsia="Times New Roman"/>
          <w:b w:val="0"/>
        </w:rPr>
        <w:t>Immunother</w:t>
      </w:r>
      <w:proofErr w:type="spellEnd"/>
      <w:r>
        <w:rPr>
          <w:rFonts w:eastAsia="Times New Roman"/>
        </w:rPr>
        <w:t>. 2012</w:t>
      </w:r>
      <w:proofErr w:type="gramStart"/>
      <w:r>
        <w:rPr>
          <w:rFonts w:eastAsia="Times New Roman"/>
        </w:rPr>
        <w:t>;8</w:t>
      </w:r>
      <w:proofErr w:type="gramEnd"/>
      <w:r>
        <w:rPr>
          <w:rFonts w:eastAsia="Times New Roman"/>
        </w:rPr>
        <w:t>(12):1907–11.</w:t>
      </w:r>
    </w:p>
    <w:p w:rsidR="008B5348" w:rsidRDefault="008B5348">
      <w:pPr>
        <w:rPr>
          <w:rStyle w:val="A10"/>
        </w:rPr>
        <w:sectPr w:rsidR="008B5348" w:rsidSect="00A30C37">
          <w:pgSz w:w="11906" w:h="16838"/>
          <w:pgMar w:top="720" w:right="720" w:bottom="1134" w:left="720" w:header="709" w:footer="284" w:gutter="0"/>
          <w:cols w:space="708"/>
          <w:titlePg/>
          <w:docGrid w:linePitch="360"/>
        </w:sectPr>
      </w:pPr>
      <w:r>
        <w:rPr>
          <w:rStyle w:val="A10"/>
        </w:rPr>
        <w:br w:type="page"/>
      </w: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w:t>
      </w:r>
      <w:proofErr w:type="gramStart"/>
      <w:r w:rsidRPr="000606CC">
        <w:rPr>
          <w:rFonts w:cstheme="minorHAnsi"/>
          <w:sz w:val="20"/>
          <w:szCs w:val="18"/>
        </w:rPr>
        <w:t>by:</w:t>
      </w:r>
      <w:proofErr w:type="gramEnd"/>
      <w:r w:rsidRPr="000606CC">
        <w:rPr>
          <w:rFonts w:cstheme="minorHAnsi"/>
          <w:sz w:val="20"/>
          <w:szCs w:val="18"/>
        </w:rPr>
        <w:t xml:space="preserve">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ABC" w:rsidRDefault="00A16ABC" w:rsidP="00E54DBA">
      <w:r>
        <w:separator/>
      </w:r>
    </w:p>
    <w:p w:rsidR="00A16ABC" w:rsidRDefault="00A16ABC"/>
    <w:p w:rsidR="00A16ABC" w:rsidRDefault="00A16ABC" w:rsidP="008714B0"/>
  </w:endnote>
  <w:endnote w:type="continuationSeparator" w:id="0">
    <w:p w:rsidR="00A16ABC" w:rsidRDefault="00A16ABC" w:rsidP="00E54DBA">
      <w:r>
        <w:continuationSeparator/>
      </w:r>
    </w:p>
    <w:p w:rsidR="00A16ABC" w:rsidRDefault="00A16ABC"/>
    <w:p w:rsidR="00A16ABC" w:rsidRDefault="00A16AB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9F3" w:rsidRPr="0042435E" w:rsidRDefault="003079F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854A4">
      <w:rPr>
        <w:noProof/>
        <w:sz w:val="18"/>
      </w:rPr>
      <w:t>5</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854A4">
      <w:rPr>
        <w:noProof/>
        <w:sz w:val="18"/>
      </w:rPr>
      <w:t>21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4C6AE3">
      <w:rPr>
        <w:i/>
        <w:sz w:val="18"/>
      </w:rPr>
      <w:t>Commun</w:t>
    </w:r>
    <w:proofErr w:type="spellEnd"/>
    <w:r w:rsidRPr="004C6AE3">
      <w:rPr>
        <w:i/>
        <w:sz w:val="18"/>
      </w:rPr>
      <w:t xml:space="preserve"> Dis </w:t>
    </w:r>
    <w:proofErr w:type="spellStart"/>
    <w:r w:rsidRPr="004C6AE3">
      <w:rPr>
        <w:i/>
        <w:sz w:val="18"/>
      </w:rPr>
      <w:t>Intell</w:t>
    </w:r>
    <w:proofErr w:type="spellEnd"/>
    <w:r w:rsidRPr="004C6AE3">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854A4">
      <w:rPr>
        <w:sz w:val="18"/>
      </w:rPr>
      <w:t>https://doi.org/10.33321/cdi.2020.44.10</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1854A4">
      <w:rPr>
        <w:sz w:val="18"/>
      </w:rPr>
      <w:t>16/3/2020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9F3" w:rsidRPr="00BB5378" w:rsidRDefault="003079F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854A4">
      <w:rPr>
        <w:noProof/>
        <w:sz w:val="18"/>
      </w:rPr>
      <w:t>10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854A4">
      <w:rPr>
        <w:noProof/>
        <w:sz w:val="18"/>
      </w:rPr>
      <w:t>21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4C6AE3">
      <w:rPr>
        <w:i/>
        <w:sz w:val="18"/>
      </w:rPr>
      <w:t>Commun</w:t>
    </w:r>
    <w:proofErr w:type="spellEnd"/>
    <w:r w:rsidRPr="004C6AE3">
      <w:rPr>
        <w:i/>
        <w:sz w:val="18"/>
      </w:rPr>
      <w:t xml:space="preserve"> Dis </w:t>
    </w:r>
    <w:proofErr w:type="spellStart"/>
    <w:r w:rsidRPr="004C6AE3">
      <w:rPr>
        <w:i/>
        <w:sz w:val="18"/>
      </w:rPr>
      <w:t>Intell</w:t>
    </w:r>
    <w:proofErr w:type="spellEnd"/>
    <w:r w:rsidRPr="004C6AE3">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35E91">
      <w:rPr>
        <w:sz w:val="18"/>
      </w:rPr>
      <w:t>https://doi.org/10.33321/cdi.2020.44.10</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1854A4">
      <w:rPr>
        <w:sz w:val="18"/>
      </w:rPr>
      <w:t>16/3/2020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ABC" w:rsidRDefault="00A16ABC" w:rsidP="00E54DBA">
      <w:r>
        <w:separator/>
      </w:r>
    </w:p>
  </w:footnote>
  <w:footnote w:type="continuationSeparator" w:id="0">
    <w:p w:rsidR="00A16ABC" w:rsidRDefault="00A16ABC" w:rsidP="00E54DBA">
      <w:r>
        <w:continuationSeparator/>
      </w:r>
    </w:p>
  </w:footnote>
  <w:footnote w:type="continuationNotice" w:id="1">
    <w:p w:rsidR="00A16ABC" w:rsidRPr="00224EFF" w:rsidRDefault="00A16ABC"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9F3" w:rsidRPr="00A153B6" w:rsidRDefault="001854A4" w:rsidP="00A153B6">
    <w:pPr>
      <w:pStyle w:val="Header"/>
      <w:pBdr>
        <w:bottom w:val="single" w:sz="6" w:space="1" w:color="auto"/>
      </w:pBdr>
    </w:pPr>
    <w:sdt>
      <w:sdtPr>
        <w:alias w:val="Category"/>
        <w:tag w:val=""/>
        <w:id w:val="1554113776"/>
        <w:dataBinding w:prefixMappings="xmlns:ns0='http://purl.org/dc/elements/1.1/' xmlns:ns1='http://schemas.openxmlformats.org/package/2006/metadata/core-properties' " w:xpath="/ns1:coreProperties[1]/ns1:category[1]" w:storeItemID="{6C3C8BC8-F283-45AE-878A-BAB7291924A1}"/>
        <w:text/>
      </w:sdtPr>
      <w:sdtEndPr/>
      <w:sdtContent>
        <w:r w:rsidR="003079F3">
          <w:t>Annual report</w:t>
        </w:r>
      </w:sdtContent>
    </w:sdt>
    <w:r w:rsidR="003079F3">
      <w:ptab w:relativeTo="margin" w:alignment="right" w:leader="none"/>
    </w:r>
    <w:r w:rsidR="003079F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9F3" w:rsidRPr="000A5F42" w:rsidRDefault="003079F3"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D4D"/>
    <w:multiLevelType w:val="hybridMultilevel"/>
    <w:tmpl w:val="707A83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051EF4"/>
    <w:multiLevelType w:val="multilevel"/>
    <w:tmpl w:val="7854C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84457FB"/>
    <w:multiLevelType w:val="multilevel"/>
    <w:tmpl w:val="EC52B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7"/>
  </w:num>
  <w:num w:numId="6">
    <w:abstractNumId w:val="8"/>
  </w:num>
  <w:num w:numId="7">
    <w:abstractNumId w:val="6"/>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1F"/>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62DE0"/>
    <w:rsid w:val="00073D77"/>
    <w:rsid w:val="00080924"/>
    <w:rsid w:val="00081655"/>
    <w:rsid w:val="0008463D"/>
    <w:rsid w:val="000864E0"/>
    <w:rsid w:val="000969B3"/>
    <w:rsid w:val="000A5F42"/>
    <w:rsid w:val="000B096A"/>
    <w:rsid w:val="000C63E0"/>
    <w:rsid w:val="000D4B4D"/>
    <w:rsid w:val="000E2B1B"/>
    <w:rsid w:val="00105368"/>
    <w:rsid w:val="00106FA5"/>
    <w:rsid w:val="001113EA"/>
    <w:rsid w:val="00113D58"/>
    <w:rsid w:val="00116498"/>
    <w:rsid w:val="001234B1"/>
    <w:rsid w:val="001378A3"/>
    <w:rsid w:val="00155582"/>
    <w:rsid w:val="0015636F"/>
    <w:rsid w:val="00161590"/>
    <w:rsid w:val="00162AB7"/>
    <w:rsid w:val="00171CC0"/>
    <w:rsid w:val="00174F09"/>
    <w:rsid w:val="00175494"/>
    <w:rsid w:val="00175629"/>
    <w:rsid w:val="00177EB0"/>
    <w:rsid w:val="001830EC"/>
    <w:rsid w:val="00183534"/>
    <w:rsid w:val="001854A4"/>
    <w:rsid w:val="00190C6D"/>
    <w:rsid w:val="00196538"/>
    <w:rsid w:val="001A4A96"/>
    <w:rsid w:val="001A5D05"/>
    <w:rsid w:val="001A796C"/>
    <w:rsid w:val="001B2614"/>
    <w:rsid w:val="001B37B8"/>
    <w:rsid w:val="001B552F"/>
    <w:rsid w:val="001C0893"/>
    <w:rsid w:val="001C1303"/>
    <w:rsid w:val="001C5D13"/>
    <w:rsid w:val="001C70B2"/>
    <w:rsid w:val="001D37C7"/>
    <w:rsid w:val="001D6888"/>
    <w:rsid w:val="00212B65"/>
    <w:rsid w:val="002135E0"/>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3EC8"/>
    <w:rsid w:val="00284E4A"/>
    <w:rsid w:val="002933F3"/>
    <w:rsid w:val="002A3799"/>
    <w:rsid w:val="002A3BCC"/>
    <w:rsid w:val="002A4516"/>
    <w:rsid w:val="002A569F"/>
    <w:rsid w:val="002A7066"/>
    <w:rsid w:val="002B001E"/>
    <w:rsid w:val="002B09B7"/>
    <w:rsid w:val="002B75A9"/>
    <w:rsid w:val="002C21B0"/>
    <w:rsid w:val="002C3A2A"/>
    <w:rsid w:val="002E2FB3"/>
    <w:rsid w:val="002E44DB"/>
    <w:rsid w:val="002F327B"/>
    <w:rsid w:val="00301626"/>
    <w:rsid w:val="003059EC"/>
    <w:rsid w:val="003079F3"/>
    <w:rsid w:val="00316CCD"/>
    <w:rsid w:val="00323AB1"/>
    <w:rsid w:val="00324F7E"/>
    <w:rsid w:val="003323BC"/>
    <w:rsid w:val="00344C10"/>
    <w:rsid w:val="00346D42"/>
    <w:rsid w:val="00346E11"/>
    <w:rsid w:val="003601C0"/>
    <w:rsid w:val="003635F5"/>
    <w:rsid w:val="00372A88"/>
    <w:rsid w:val="00375E21"/>
    <w:rsid w:val="00381A0F"/>
    <w:rsid w:val="003A1B3A"/>
    <w:rsid w:val="003A40F5"/>
    <w:rsid w:val="003B5B8C"/>
    <w:rsid w:val="003D502B"/>
    <w:rsid w:val="003D79B1"/>
    <w:rsid w:val="003E74EE"/>
    <w:rsid w:val="003F0552"/>
    <w:rsid w:val="003F06EA"/>
    <w:rsid w:val="003F3BC2"/>
    <w:rsid w:val="00401ED1"/>
    <w:rsid w:val="0040224C"/>
    <w:rsid w:val="00403050"/>
    <w:rsid w:val="00413EE1"/>
    <w:rsid w:val="004164BB"/>
    <w:rsid w:val="00421ECE"/>
    <w:rsid w:val="00422FEB"/>
    <w:rsid w:val="0042435E"/>
    <w:rsid w:val="0042679E"/>
    <w:rsid w:val="004315F5"/>
    <w:rsid w:val="00433456"/>
    <w:rsid w:val="00433D8F"/>
    <w:rsid w:val="00433DFA"/>
    <w:rsid w:val="00435D67"/>
    <w:rsid w:val="0045014E"/>
    <w:rsid w:val="00464A58"/>
    <w:rsid w:val="00473D2D"/>
    <w:rsid w:val="004939C0"/>
    <w:rsid w:val="004A2125"/>
    <w:rsid w:val="004A38F6"/>
    <w:rsid w:val="004B4EB6"/>
    <w:rsid w:val="004C083C"/>
    <w:rsid w:val="004C67C6"/>
    <w:rsid w:val="004C6AE3"/>
    <w:rsid w:val="004D29DE"/>
    <w:rsid w:val="00510EAC"/>
    <w:rsid w:val="00542A57"/>
    <w:rsid w:val="00543BFE"/>
    <w:rsid w:val="00554746"/>
    <w:rsid w:val="00565974"/>
    <w:rsid w:val="005732C0"/>
    <w:rsid w:val="0057336D"/>
    <w:rsid w:val="0057489A"/>
    <w:rsid w:val="00574ACF"/>
    <w:rsid w:val="005758CB"/>
    <w:rsid w:val="00581588"/>
    <w:rsid w:val="00582E42"/>
    <w:rsid w:val="00583B67"/>
    <w:rsid w:val="0058540B"/>
    <w:rsid w:val="00587AEF"/>
    <w:rsid w:val="00587C87"/>
    <w:rsid w:val="00590B80"/>
    <w:rsid w:val="005A0FC7"/>
    <w:rsid w:val="005B3134"/>
    <w:rsid w:val="005B4E61"/>
    <w:rsid w:val="005B595A"/>
    <w:rsid w:val="005B66C2"/>
    <w:rsid w:val="005C1064"/>
    <w:rsid w:val="005D2465"/>
    <w:rsid w:val="005D2A91"/>
    <w:rsid w:val="005D5CA2"/>
    <w:rsid w:val="005E33DD"/>
    <w:rsid w:val="005E4229"/>
    <w:rsid w:val="005E540E"/>
    <w:rsid w:val="005E55FB"/>
    <w:rsid w:val="005F16BB"/>
    <w:rsid w:val="005F29A9"/>
    <w:rsid w:val="005F7974"/>
    <w:rsid w:val="00607115"/>
    <w:rsid w:val="00620768"/>
    <w:rsid w:val="0062594B"/>
    <w:rsid w:val="0062725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2FB6"/>
    <w:rsid w:val="00704CA9"/>
    <w:rsid w:val="0071048D"/>
    <w:rsid w:val="00710F86"/>
    <w:rsid w:val="007111A8"/>
    <w:rsid w:val="00731BC3"/>
    <w:rsid w:val="00735E91"/>
    <w:rsid w:val="00741192"/>
    <w:rsid w:val="00743A33"/>
    <w:rsid w:val="00746080"/>
    <w:rsid w:val="0075144A"/>
    <w:rsid w:val="00752B95"/>
    <w:rsid w:val="00761148"/>
    <w:rsid w:val="00770075"/>
    <w:rsid w:val="00786329"/>
    <w:rsid w:val="00792C7D"/>
    <w:rsid w:val="00794A4D"/>
    <w:rsid w:val="007A5234"/>
    <w:rsid w:val="007B7854"/>
    <w:rsid w:val="007C56A1"/>
    <w:rsid w:val="007C6454"/>
    <w:rsid w:val="007E01E0"/>
    <w:rsid w:val="007E4778"/>
    <w:rsid w:val="007F0B93"/>
    <w:rsid w:val="007F2ECA"/>
    <w:rsid w:val="00811708"/>
    <w:rsid w:val="00816B90"/>
    <w:rsid w:val="00816BC0"/>
    <w:rsid w:val="00817799"/>
    <w:rsid w:val="0082073B"/>
    <w:rsid w:val="00822F5F"/>
    <w:rsid w:val="00824FD3"/>
    <w:rsid w:val="00826589"/>
    <w:rsid w:val="00834BCC"/>
    <w:rsid w:val="00841599"/>
    <w:rsid w:val="00850D54"/>
    <w:rsid w:val="008714B0"/>
    <w:rsid w:val="00876331"/>
    <w:rsid w:val="00880726"/>
    <w:rsid w:val="008934E8"/>
    <w:rsid w:val="008A3544"/>
    <w:rsid w:val="008B48B8"/>
    <w:rsid w:val="008B5348"/>
    <w:rsid w:val="008B58F8"/>
    <w:rsid w:val="008C0712"/>
    <w:rsid w:val="008C4520"/>
    <w:rsid w:val="008C5F09"/>
    <w:rsid w:val="008D470F"/>
    <w:rsid w:val="008E10F4"/>
    <w:rsid w:val="008E1F8F"/>
    <w:rsid w:val="008E4768"/>
    <w:rsid w:val="008E761E"/>
    <w:rsid w:val="008F77B3"/>
    <w:rsid w:val="009008F5"/>
    <w:rsid w:val="00900A70"/>
    <w:rsid w:val="00904589"/>
    <w:rsid w:val="00904CC1"/>
    <w:rsid w:val="009066AF"/>
    <w:rsid w:val="00912050"/>
    <w:rsid w:val="00912E48"/>
    <w:rsid w:val="00922812"/>
    <w:rsid w:val="009254DE"/>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1DA8"/>
    <w:rsid w:val="009C2B09"/>
    <w:rsid w:val="009C49F8"/>
    <w:rsid w:val="009D77CC"/>
    <w:rsid w:val="009E2423"/>
    <w:rsid w:val="009E55D7"/>
    <w:rsid w:val="009F1561"/>
    <w:rsid w:val="009F4150"/>
    <w:rsid w:val="009F5665"/>
    <w:rsid w:val="009F5DAD"/>
    <w:rsid w:val="00A01BCA"/>
    <w:rsid w:val="00A10458"/>
    <w:rsid w:val="00A153B6"/>
    <w:rsid w:val="00A164D5"/>
    <w:rsid w:val="00A16ABC"/>
    <w:rsid w:val="00A24C6F"/>
    <w:rsid w:val="00A273C3"/>
    <w:rsid w:val="00A30C37"/>
    <w:rsid w:val="00A34F58"/>
    <w:rsid w:val="00A36C65"/>
    <w:rsid w:val="00A4000F"/>
    <w:rsid w:val="00A41BBE"/>
    <w:rsid w:val="00A45BDD"/>
    <w:rsid w:val="00A46A0A"/>
    <w:rsid w:val="00A553F8"/>
    <w:rsid w:val="00A6118A"/>
    <w:rsid w:val="00A6708F"/>
    <w:rsid w:val="00A71BF6"/>
    <w:rsid w:val="00A74CD0"/>
    <w:rsid w:val="00A832F1"/>
    <w:rsid w:val="00A86F9A"/>
    <w:rsid w:val="00AA35E6"/>
    <w:rsid w:val="00AA50B6"/>
    <w:rsid w:val="00AB3472"/>
    <w:rsid w:val="00AD0762"/>
    <w:rsid w:val="00AE4452"/>
    <w:rsid w:val="00AE5DE1"/>
    <w:rsid w:val="00AE76E9"/>
    <w:rsid w:val="00AE7C38"/>
    <w:rsid w:val="00AF6C2C"/>
    <w:rsid w:val="00B01F99"/>
    <w:rsid w:val="00B02B37"/>
    <w:rsid w:val="00B05276"/>
    <w:rsid w:val="00B132DB"/>
    <w:rsid w:val="00B2753A"/>
    <w:rsid w:val="00B31427"/>
    <w:rsid w:val="00B33861"/>
    <w:rsid w:val="00B36BD4"/>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FFA"/>
    <w:rsid w:val="00C5050E"/>
    <w:rsid w:val="00C507D8"/>
    <w:rsid w:val="00C62EAC"/>
    <w:rsid w:val="00C63F9F"/>
    <w:rsid w:val="00C71B02"/>
    <w:rsid w:val="00C7723C"/>
    <w:rsid w:val="00C838F5"/>
    <w:rsid w:val="00CA1AF4"/>
    <w:rsid w:val="00CA26C1"/>
    <w:rsid w:val="00CA6068"/>
    <w:rsid w:val="00CB15E1"/>
    <w:rsid w:val="00CB3D46"/>
    <w:rsid w:val="00CB4076"/>
    <w:rsid w:val="00CC38A3"/>
    <w:rsid w:val="00CD1A87"/>
    <w:rsid w:val="00CD35F3"/>
    <w:rsid w:val="00CD5C93"/>
    <w:rsid w:val="00CE1755"/>
    <w:rsid w:val="00CE342B"/>
    <w:rsid w:val="00CF320C"/>
    <w:rsid w:val="00CF3A4B"/>
    <w:rsid w:val="00CF4001"/>
    <w:rsid w:val="00D05837"/>
    <w:rsid w:val="00D12D8A"/>
    <w:rsid w:val="00D13E0C"/>
    <w:rsid w:val="00D25601"/>
    <w:rsid w:val="00D25896"/>
    <w:rsid w:val="00D373A1"/>
    <w:rsid w:val="00D37C0F"/>
    <w:rsid w:val="00D45661"/>
    <w:rsid w:val="00D45943"/>
    <w:rsid w:val="00D47D22"/>
    <w:rsid w:val="00D51865"/>
    <w:rsid w:val="00D51D0C"/>
    <w:rsid w:val="00D60EE4"/>
    <w:rsid w:val="00D74140"/>
    <w:rsid w:val="00DA6E56"/>
    <w:rsid w:val="00DC6705"/>
    <w:rsid w:val="00DD2DE8"/>
    <w:rsid w:val="00DE1E41"/>
    <w:rsid w:val="00DE38B4"/>
    <w:rsid w:val="00DE5D02"/>
    <w:rsid w:val="00E005A9"/>
    <w:rsid w:val="00E1166E"/>
    <w:rsid w:val="00E14437"/>
    <w:rsid w:val="00E24DC0"/>
    <w:rsid w:val="00E2519C"/>
    <w:rsid w:val="00E25F2A"/>
    <w:rsid w:val="00E41455"/>
    <w:rsid w:val="00E41A6C"/>
    <w:rsid w:val="00E42AD2"/>
    <w:rsid w:val="00E50856"/>
    <w:rsid w:val="00E538CC"/>
    <w:rsid w:val="00E54DBA"/>
    <w:rsid w:val="00E56A49"/>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F12DC"/>
    <w:rsid w:val="00F0647F"/>
    <w:rsid w:val="00F10B20"/>
    <w:rsid w:val="00F10CE3"/>
    <w:rsid w:val="00F14F3B"/>
    <w:rsid w:val="00F16362"/>
    <w:rsid w:val="00F207C7"/>
    <w:rsid w:val="00F36B6D"/>
    <w:rsid w:val="00F40872"/>
    <w:rsid w:val="00F43FA3"/>
    <w:rsid w:val="00F55648"/>
    <w:rsid w:val="00F65C80"/>
    <w:rsid w:val="00F70046"/>
    <w:rsid w:val="00F748C2"/>
    <w:rsid w:val="00F76C5C"/>
    <w:rsid w:val="00F81EF3"/>
    <w:rsid w:val="00F84496"/>
    <w:rsid w:val="00F85DCB"/>
    <w:rsid w:val="00F86F9C"/>
    <w:rsid w:val="00F90D76"/>
    <w:rsid w:val="00FA3A1F"/>
    <w:rsid w:val="00FA44E7"/>
    <w:rsid w:val="00FC002E"/>
    <w:rsid w:val="00FC4C23"/>
    <w:rsid w:val="00FC5EE4"/>
    <w:rsid w:val="00FC642E"/>
    <w:rsid w:val="00FD52D3"/>
    <w:rsid w:val="00FE2AE4"/>
    <w:rsid w:val="00FE393F"/>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27C8F419-0F0D-4170-AB64-1CEFAB1CC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1234B1"/>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174F09"/>
    <w:rPr>
      <w:sz w:val="16"/>
      <w:szCs w:val="16"/>
    </w:rPr>
  </w:style>
  <w:style w:type="paragraph" w:styleId="CommentText">
    <w:name w:val="annotation text"/>
    <w:basedOn w:val="Normal"/>
    <w:link w:val="CommentTextChar"/>
    <w:uiPriority w:val="99"/>
    <w:semiHidden/>
    <w:unhideWhenUsed/>
    <w:rsid w:val="00174F09"/>
    <w:pPr>
      <w:spacing w:line="240" w:lineRule="auto"/>
    </w:pPr>
    <w:rPr>
      <w:sz w:val="20"/>
      <w:szCs w:val="20"/>
    </w:rPr>
  </w:style>
  <w:style w:type="character" w:customStyle="1" w:styleId="CommentTextChar">
    <w:name w:val="Comment Text Char"/>
    <w:basedOn w:val="DefaultParagraphFont"/>
    <w:link w:val="CommentText"/>
    <w:uiPriority w:val="99"/>
    <w:semiHidden/>
    <w:rsid w:val="00174F09"/>
    <w:rPr>
      <w:sz w:val="20"/>
      <w:szCs w:val="20"/>
    </w:rPr>
  </w:style>
  <w:style w:type="paragraph" w:styleId="CommentSubject">
    <w:name w:val="annotation subject"/>
    <w:basedOn w:val="CommentText"/>
    <w:next w:val="CommentText"/>
    <w:link w:val="CommentSubjectChar"/>
    <w:uiPriority w:val="99"/>
    <w:semiHidden/>
    <w:unhideWhenUsed/>
    <w:rsid w:val="00174F09"/>
    <w:rPr>
      <w:b/>
      <w:bCs/>
    </w:rPr>
  </w:style>
  <w:style w:type="character" w:customStyle="1" w:styleId="CommentSubjectChar">
    <w:name w:val="Comment Subject Char"/>
    <w:basedOn w:val="CommentTextChar"/>
    <w:link w:val="CommentSubject"/>
    <w:uiPriority w:val="99"/>
    <w:semiHidden/>
    <w:rsid w:val="00174F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copyright@health.gov.au" TargetMode="External"/><Relationship Id="rId10" Type="http://schemas.openxmlformats.org/officeDocument/2006/relationships/header" Target="header1.xml"/><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E2BA3C-C9C6-4711-8DF8-E9C68EDE9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14</TotalTime>
  <Pages>21</Pages>
  <Words>6452</Words>
  <Characters>34008</Characters>
  <Application>Microsoft Office Word</Application>
  <DocSecurity>0</DocSecurity>
  <Lines>283</Lines>
  <Paragraphs>80</Paragraphs>
  <ScaleCrop>false</ScaleCrop>
  <HeadingPairs>
    <vt:vector size="2" baseType="variant">
      <vt:variant>
        <vt:lpstr>Title</vt:lpstr>
      </vt:variant>
      <vt:variant>
        <vt:i4>1</vt:i4>
      </vt:variant>
    </vt:vector>
  </HeadingPairs>
  <TitlesOfParts>
    <vt:vector size="1" baseType="lpstr">
      <vt:lpstr>Communicable Diseases Intelligence 2019 - Australian Meningococcal Surveillance Programme annual report, 2018</vt:lpstr>
    </vt:vector>
  </TitlesOfParts>
  <Company>Australian Government, Department of Health</Company>
  <LinksUpToDate>false</LinksUpToDate>
  <CharactersWithSpaces>40380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Meningococcal Surveillance Programme annual report, 2018</dc:title>
  <dc:subject>The reference laboratories of the Australian National Neisseria Network (NNN) report data on the number of laboratory confirmed cases of invasive meningococcal disease (IMD) using culture and by non-culture based techniques for the Australian Meningococcal Surveillance Programme (AMSP).</dc:subject>
  <dc:creator>Monica M Lahra, Rodney Enriquez and Tiffany Hogan for the National Neisseria Network</dc:creator>
  <cp:keywords>antibiotic resistance; disease surveillance; meningococcal disease; Neisseria meningitidis</cp:keywords>
  <dc:description>© Commonwealth of Australia CC BY-NC-ND ISSN: 2209-6051 (Online)</dc:description>
  <cp:lastModifiedBy>YOUSEFI, Kasra</cp:lastModifiedBy>
  <cp:revision>6</cp:revision>
  <cp:lastPrinted>2018-05-10T02:19:00Z</cp:lastPrinted>
  <dcterms:created xsi:type="dcterms:W3CDTF">2020-01-20T03:39:00Z</dcterms:created>
  <dcterms:modified xsi:type="dcterms:W3CDTF">2020-03-11T03:35:00Z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16/3/2020</vt:lpwstr>
  </property>
  <property fmtid="{D5CDD505-2E9C-101B-9397-08002B2CF9AE}" pid="5" name="DOI">
    <vt:lpwstr>https://doi.org/10.33321/cdi.2020.44.10</vt:lpwstr>
  </property>
</Properties>
</file>