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4B4" w:rsidRDefault="00E874B4" w:rsidP="00E874B4">
      <w:pPr>
        <w:pStyle w:val="Title"/>
        <w:rPr>
          <w:rFonts w:eastAsia="Times New Roman"/>
          <w:sz w:val="48"/>
          <w:szCs w:val="48"/>
        </w:rPr>
      </w:pPr>
      <w:r>
        <w:rPr>
          <w:rFonts w:eastAsia="Times New Roman"/>
        </w:rPr>
        <w:t xml:space="preserve">Australian </w:t>
      </w:r>
      <w:r w:rsidR="00D8397B">
        <w:rPr>
          <w:rFonts w:eastAsia="Times New Roman"/>
        </w:rPr>
        <w:t>Rotavirus Surveillance Program</w:t>
      </w:r>
      <w:r w:rsidR="00E82A95">
        <w:rPr>
          <w:rFonts w:eastAsia="Times New Roman"/>
        </w:rPr>
        <w:t xml:space="preserve">: </w:t>
      </w:r>
      <w:r w:rsidR="00D8397B">
        <w:rPr>
          <w:rFonts w:eastAsia="Times New Roman"/>
        </w:rPr>
        <w:br/>
      </w:r>
      <w:r>
        <w:rPr>
          <w:rFonts w:eastAsia="Times New Roman"/>
        </w:rPr>
        <w:t xml:space="preserve">Annual Report, 2017 </w:t>
      </w:r>
    </w:p>
    <w:p w:rsidR="00E874B4" w:rsidRDefault="00E874B4" w:rsidP="00571C5A">
      <w:r>
        <w:t xml:space="preserve">Susie Roczo-Farkas, Daniel Cowley, Julie E Bines, and the Australian Rotavirus Surveillance Group </w:t>
      </w:r>
    </w:p>
    <w:p w:rsidR="00E874B4" w:rsidRPr="00571C5A" w:rsidRDefault="00E874B4" w:rsidP="00571C5A">
      <w:pPr>
        <w:pStyle w:val="Heading1"/>
      </w:pPr>
      <w:r w:rsidRPr="00571C5A">
        <w:t xml:space="preserve">Abstract </w:t>
      </w:r>
    </w:p>
    <w:p w:rsidR="00E874B4" w:rsidRDefault="00E874B4" w:rsidP="00571C5A">
      <w:r>
        <w:t xml:space="preserve">This report, from the Australian Rotavirus Surveillance Program and collaborating laboratories Australia-wide, describes the rotavirus genotypes identified in children and adults with acute gastroenteritis during the period 1 January to 31 December 2017. During this period, 2,285 faecal specimens were referred for rotavirus G and P genotype analysis, including 1,103 samples that were confirmed as rotavirus positive. Of these, 1,014/1,103 were </w:t>
      </w:r>
      <w:proofErr w:type="spellStart"/>
      <w:r>
        <w:t>wildtype</w:t>
      </w:r>
      <w:proofErr w:type="spellEnd"/>
      <w:r>
        <w:t xml:space="preserve"> rotavirus strains and 89/1,103 were identified as rotavirus vaccine-like. Genotype analysis of the 1,014 </w:t>
      </w:r>
      <w:proofErr w:type="spellStart"/>
      <w:r>
        <w:t>wildtype</w:t>
      </w:r>
      <w:proofErr w:type="spellEnd"/>
      <w:r>
        <w:t xml:space="preserve"> rotavirus samples from both children and adults demonstrated that </w:t>
      </w:r>
      <w:proofErr w:type="gramStart"/>
      <w:r>
        <w:t>G2P[</w:t>
      </w:r>
      <w:proofErr w:type="gramEnd"/>
      <w:r>
        <w:t xml:space="preserve">4] was the dominant genotype nationally, identified in 39% of samples, followed by equine-like G3P[8] and G8P[8] (25% and 16% respectively). Multiple outbreaks were recorded across Australia, including </w:t>
      </w:r>
      <w:proofErr w:type="gramStart"/>
      <w:r>
        <w:t>G2P[</w:t>
      </w:r>
      <w:proofErr w:type="gramEnd"/>
      <w:r>
        <w:t xml:space="preserve">4] (Northern Territory, Western Australia, and South Australia), equine-like G3P[8] (New South Wales), and G8P[8] (New South Wales and Victoria). This year also marks the change in the Australian National Immunisation Program to the use of </w:t>
      </w:r>
      <w:proofErr w:type="spellStart"/>
      <w:r>
        <w:t>Rotarix</w:t>
      </w:r>
      <w:proofErr w:type="spellEnd"/>
      <w:r>
        <w:t xml:space="preserve"> exclusively, on 1 July 2017. </w:t>
      </w:r>
    </w:p>
    <w:p w:rsidR="00E874B4" w:rsidRDefault="00E874B4" w:rsidP="00571C5A">
      <w:r>
        <w:t xml:space="preserve">Keywords: rotavirus, gastroenteritis, genotypes, surveillance, Australia, vaccine, </w:t>
      </w:r>
      <w:proofErr w:type="spellStart"/>
      <w:r>
        <w:t>RotaTeq</w:t>
      </w:r>
      <w:proofErr w:type="spellEnd"/>
      <w:r>
        <w:t xml:space="preserve">, </w:t>
      </w:r>
      <w:proofErr w:type="spellStart"/>
      <w:r>
        <w:t>Rotarix</w:t>
      </w:r>
      <w:proofErr w:type="spellEnd"/>
      <w:r>
        <w:t xml:space="preserve">, </w:t>
      </w:r>
      <w:proofErr w:type="gramStart"/>
      <w:r>
        <w:t>G2P[</w:t>
      </w:r>
      <w:proofErr w:type="gramEnd"/>
      <w:r>
        <w:t xml:space="preserve">4], G8P[8], equine-like G3P[8] </w:t>
      </w:r>
    </w:p>
    <w:p w:rsidR="00E874B4" w:rsidRDefault="00E874B4">
      <w:pPr>
        <w:pStyle w:val="Heading1"/>
        <w:rPr>
          <w:rFonts w:eastAsia="Times New Roman"/>
        </w:rPr>
      </w:pPr>
      <w:r>
        <w:rPr>
          <w:rFonts w:eastAsia="Times New Roman"/>
        </w:rPr>
        <w:t xml:space="preserve">Introduction </w:t>
      </w:r>
    </w:p>
    <w:p w:rsidR="00E874B4" w:rsidRDefault="00E874B4" w:rsidP="00571C5A">
      <w:r>
        <w:t xml:space="preserve">Rotaviruses belong to the </w:t>
      </w:r>
      <w:r w:rsidRPr="00A67321">
        <w:rPr>
          <w:rStyle w:val="Emphasis"/>
          <w:b w:val="0"/>
        </w:rPr>
        <w:t>Reoviridae</w:t>
      </w:r>
      <w:r>
        <w:t xml:space="preserve"> family, and are triple-layered dsRNA viruses that contain a segmented genome, consisting of 11 gene segments that encode six structural proteins and six non-structural proteins.</w:t>
      </w:r>
      <w:r>
        <w:rPr>
          <w:vertAlign w:val="superscript"/>
        </w:rPr>
        <w:t>1</w:t>
      </w:r>
      <w:r>
        <w:t xml:space="preserve"> The segmented nature of rotavirus has been attributed as one of the major processes by which the virus can evolve, since it allows for </w:t>
      </w:r>
      <w:proofErr w:type="spellStart"/>
      <w:r>
        <w:t>reassortment</w:t>
      </w:r>
      <w:proofErr w:type="spellEnd"/>
      <w:r>
        <w:t xml:space="preserve"> both within and between human and animal strains, leading to the emergence of novel rotavirus strains.</w:t>
      </w:r>
      <w:r>
        <w:rPr>
          <w:vertAlign w:val="superscript"/>
        </w:rPr>
        <w:t>2</w:t>
      </w:r>
      <w:r>
        <w:t xml:space="preserve"> Rotaviruses are the most common cause of severe diarrhoea in young children worldwide, estimated to have caused 215,000 deaths in 2013 worldwide.</w:t>
      </w:r>
      <w:r>
        <w:rPr>
          <w:vertAlign w:val="superscript"/>
        </w:rPr>
        <w:t>3</w:t>
      </w:r>
      <w:r>
        <w:t xml:space="preserve"> The latest figures are significantly lower than previous estimates of 611,000 deaths per annum,</w:t>
      </w:r>
      <w:r>
        <w:rPr>
          <w:vertAlign w:val="superscript"/>
        </w:rPr>
        <w:t>4</w:t>
      </w:r>
      <w:r>
        <w:t xml:space="preserve"> primarily due to the introduction of rotavirus vaccines, such as </w:t>
      </w:r>
      <w:proofErr w:type="spellStart"/>
      <w:r>
        <w:t>Rotarix</w:t>
      </w:r>
      <w:proofErr w:type="spellEnd"/>
      <w:r>
        <w:t xml:space="preserve">® [GlaxoSmithKline] and </w:t>
      </w:r>
      <w:proofErr w:type="spellStart"/>
      <w:r>
        <w:t>RotaTeq</w:t>
      </w:r>
      <w:proofErr w:type="spellEnd"/>
      <w:r>
        <w:t>® [Merck]. These two live attenuated oral rotavirus vaccines have been shown to be safe and highly effective in the prevention of severe diarrhoea due to rotavirus infection,</w:t>
      </w:r>
      <w:r>
        <w:rPr>
          <w:vertAlign w:val="superscript"/>
        </w:rPr>
        <w:t>5,6</w:t>
      </w:r>
      <w:r>
        <w:t xml:space="preserve"> and have been introduced in the national immunisation programs of 100 countries, with a further 11 countries planning to introduce in 2019.</w:t>
      </w:r>
      <w:r>
        <w:rPr>
          <w:vertAlign w:val="superscript"/>
        </w:rPr>
        <w:t>7</w:t>
      </w:r>
      <w:r>
        <w:t xml:space="preserve"> </w:t>
      </w:r>
    </w:p>
    <w:p w:rsidR="00E874B4" w:rsidRDefault="00E874B4" w:rsidP="00571C5A">
      <w:r>
        <w:t xml:space="preserve">Since 1 July 2007, rotavirus vaccines have been included in the Australian National Immunisation Program (NIP), with excellent uptake in subsequent years across the nation. </w:t>
      </w:r>
      <w:proofErr w:type="spellStart"/>
      <w:r>
        <w:t>RotaTeq</w:t>
      </w:r>
      <w:proofErr w:type="spellEnd"/>
      <w:r>
        <w:t xml:space="preserve"> was administered in Queensland, South Australia, and Victoria, while </w:t>
      </w:r>
      <w:proofErr w:type="spellStart"/>
      <w:r>
        <w:t>Rotarix</w:t>
      </w:r>
      <w:proofErr w:type="spellEnd"/>
      <w:r>
        <w:t xml:space="preserve"> was administered in the Australian Capital Territory, New South Wales, the Northern Territory, Tasmania, and Western Australia.</w:t>
      </w:r>
      <w:r>
        <w:rPr>
          <w:vertAlign w:val="superscript"/>
        </w:rPr>
        <w:t>8</w:t>
      </w:r>
      <w:r>
        <w:t xml:space="preserve"> In May 2009, Western Australia changed to </w:t>
      </w:r>
      <w:proofErr w:type="spellStart"/>
      <w:r>
        <w:t>RotaTeq</w:t>
      </w:r>
      <w:proofErr w:type="spellEnd"/>
      <w:r>
        <w:t xml:space="preserve">, however, all states and territories in Australia have changed to </w:t>
      </w:r>
      <w:proofErr w:type="spellStart"/>
      <w:r>
        <w:t>Rotarix</w:t>
      </w:r>
      <w:proofErr w:type="spellEnd"/>
      <w:r>
        <w:t xml:space="preserve"> on 1 July 2017, under the National Immunisation Program.</w:t>
      </w:r>
      <w:r>
        <w:rPr>
          <w:vertAlign w:val="superscript"/>
        </w:rPr>
        <w:t>9</w:t>
      </w:r>
      <w:r>
        <w:t xml:space="preserve"> </w:t>
      </w:r>
    </w:p>
    <w:p w:rsidR="00E874B4" w:rsidRDefault="00E874B4" w:rsidP="00571C5A">
      <w:r>
        <w:t>A significant impact on acute gastroenteritis disease burden has been observed since vaccine introduction, with studies showing a 78% decline across Australia in both rotavirus-coded and non-rotavirus-coded hospitalisations in children ≤5 years of age.</w:t>
      </w:r>
      <w:r>
        <w:rPr>
          <w:vertAlign w:val="superscript"/>
        </w:rPr>
        <w:t>8,10,11</w:t>
      </w:r>
      <w:r>
        <w:t xml:space="preserve"> Over the first six years after implementation of the rotavirus immunisation program, </w:t>
      </w:r>
      <w:r>
        <w:lastRenderedPageBreak/>
        <w:t>~77,000 hospitalisations were prevented.</w:t>
      </w:r>
      <w:r>
        <w:rPr>
          <w:vertAlign w:val="superscript"/>
        </w:rPr>
        <w:t>11</w:t>
      </w:r>
      <w:r>
        <w:t xml:space="preserve"> Approximately 90% of hospitalisations prevented were in children ≤5 years, with evidence of herd protection in older age groups. </w:t>
      </w:r>
    </w:p>
    <w:p w:rsidR="00E874B4" w:rsidRDefault="00E874B4" w:rsidP="00571C5A">
      <w:r>
        <w:t>The Australian Rotavirus Surveillance Program (ARSP) has characterised the G- and P- genotypes of rotavirus strains causing severe disease in Australian children ≤5 years since 1999. Surveillance data generated by the ARSP have shown that strain diversity, as well as temporal and geographic changes, occur each year.</w:t>
      </w:r>
      <w:r>
        <w:rPr>
          <w:vertAlign w:val="superscript"/>
        </w:rPr>
        <w:t>12</w:t>
      </w:r>
      <w:r>
        <w:t xml:space="preserve"> Ongoing characterisation of circulating rotavirus genotypes will provide insight into whether vaccine introduction has impacted on virus epidemiology, altered circulating strains, or caused vaccine escape strains, which could have ongoing consequences for the success of current and future vaccination programs. </w:t>
      </w:r>
    </w:p>
    <w:p w:rsidR="00E874B4" w:rsidRDefault="00E874B4" w:rsidP="00571C5A">
      <w:r>
        <w:t xml:space="preserve">This report describes the G- and P- genotype distribution of rotavirus strains causing severe gastroenteritis in Australia for the period 1 January to 31 December 2017. </w:t>
      </w:r>
    </w:p>
    <w:p w:rsidR="00E874B4" w:rsidRDefault="00E874B4">
      <w:pPr>
        <w:pStyle w:val="Heading1"/>
        <w:rPr>
          <w:rFonts w:eastAsia="Times New Roman"/>
        </w:rPr>
      </w:pPr>
      <w:r>
        <w:rPr>
          <w:rFonts w:eastAsia="Times New Roman"/>
        </w:rPr>
        <w:t xml:space="preserve">Methods </w:t>
      </w:r>
    </w:p>
    <w:p w:rsidR="00E874B4" w:rsidRDefault="00E874B4" w:rsidP="00571C5A">
      <w:r>
        <w:t xml:space="preserve">Rotavirus positive faecal specimens detected by quantitative Reverse Transcription Polymerase Chain Reaction (RT-qPCR), enzyme immunoassay (EIA), or latex agglutination in collaborating laboratories across Australia were collected, stored frozen, and forwarded de-identified to the Australian Rotavirus Reference Centre (NRRC) Melbourne, together with metadata including date of collection (DOC), date of birth (DOB), gender, postcode, and the collaborating laboratory rotavirus RT-qPCR cycle threshold (Ct) values. These specimens were received from the following 19 collaborating centres across Australia, located in the Australian Capital Territory (ACT), New South Wales (NSW), Northern Territory (NT), Queensland (Qld), South Australia (SA), Tasmania (Tas), Victoria (Vic), and Western Australia (WA). (n=number of specimens received): </w:t>
      </w:r>
    </w:p>
    <w:p w:rsidR="00E874B4" w:rsidRDefault="00E874B4" w:rsidP="00571C5A">
      <w:r>
        <w:t xml:space="preserve">Microbiology Department, Canberra Hospital, ACT (n=22) </w:t>
      </w:r>
    </w:p>
    <w:p w:rsidR="00E874B4" w:rsidRDefault="00E874B4" w:rsidP="00571C5A">
      <w:r>
        <w:t xml:space="preserve">Microbiology Department, SEALS-Randwick, Prince of Wales Hospital, NSW (n=110) </w:t>
      </w:r>
    </w:p>
    <w:p w:rsidR="00E874B4" w:rsidRDefault="00E874B4" w:rsidP="00571C5A">
      <w:r>
        <w:t xml:space="preserve">Virology Department, The Children’s Hospital at Westmead, NSW (n=85) </w:t>
      </w:r>
    </w:p>
    <w:p w:rsidR="00E874B4" w:rsidRDefault="00E874B4" w:rsidP="00571C5A">
      <w:r>
        <w:t xml:space="preserve">Centre for Infectious Diseases &amp; Microbiology, Westmead, NSW (n=33) </w:t>
      </w:r>
    </w:p>
    <w:p w:rsidR="00E874B4" w:rsidRDefault="00E874B4" w:rsidP="00571C5A">
      <w:r>
        <w:t xml:space="preserve">The Microbiology Department, John Hunter Hospital, Newcastle, NSW (n=42) </w:t>
      </w:r>
    </w:p>
    <w:p w:rsidR="00E874B4" w:rsidRDefault="00E874B4" w:rsidP="00571C5A">
      <w:r>
        <w:t xml:space="preserve">The Microbiology Department, Central Coast, Gosford, NSW (n=10) </w:t>
      </w:r>
    </w:p>
    <w:p w:rsidR="00E874B4" w:rsidRDefault="00E874B4" w:rsidP="00571C5A">
      <w:r>
        <w:t xml:space="preserve">Douglas </w:t>
      </w:r>
      <w:proofErr w:type="spellStart"/>
      <w:r>
        <w:t>Hanly</w:t>
      </w:r>
      <w:proofErr w:type="spellEnd"/>
      <w:r>
        <w:t xml:space="preserve"> </w:t>
      </w:r>
      <w:proofErr w:type="spellStart"/>
      <w:r>
        <w:t>Moir</w:t>
      </w:r>
      <w:proofErr w:type="spellEnd"/>
      <w:r>
        <w:t xml:space="preserve"> Pathology, NSW (n=149) </w:t>
      </w:r>
    </w:p>
    <w:p w:rsidR="00E874B4" w:rsidRDefault="00E874B4" w:rsidP="00571C5A">
      <w:r>
        <w:t>Department of Microbiology, Western Diagnostics Pathology (WDP), Perth, WA (n=74)</w:t>
      </w:r>
      <w:r w:rsidR="00FA1AD4">
        <w:rPr>
          <w:rStyle w:val="FootnoteReference"/>
        </w:rPr>
        <w:footnoteReference w:id="1"/>
      </w:r>
    </w:p>
    <w:p w:rsidR="00E874B4" w:rsidRDefault="00E874B4" w:rsidP="00571C5A">
      <w:r>
        <w:t xml:space="preserve">Sullivan </w:t>
      </w:r>
      <w:proofErr w:type="spellStart"/>
      <w:r>
        <w:t>Nicolaides</w:t>
      </w:r>
      <w:proofErr w:type="spellEnd"/>
      <w:r>
        <w:t xml:space="preserve"> Pathology, Qld (n=1) </w:t>
      </w:r>
    </w:p>
    <w:p w:rsidR="00E874B4" w:rsidRDefault="00E874B4" w:rsidP="00571C5A">
      <w:r>
        <w:t xml:space="preserve">Forensic and Scientific Services, Queensland Health, Herston, Qld (n=1) </w:t>
      </w:r>
    </w:p>
    <w:p w:rsidR="00E874B4" w:rsidRDefault="00E874B4" w:rsidP="00571C5A">
      <w:r>
        <w:lastRenderedPageBreak/>
        <w:t xml:space="preserve">Microbiology Division, Pathology Queensland, Herston, Qld (n=406) </w:t>
      </w:r>
    </w:p>
    <w:p w:rsidR="00E874B4" w:rsidRDefault="00E874B4" w:rsidP="00571C5A">
      <w:r>
        <w:t xml:space="preserve">The Queensland Paediatric Infectious Diseases Laboratory, Royal Children’s Hospital, Brisbane, Qld </w:t>
      </w:r>
    </w:p>
    <w:p w:rsidR="00E874B4" w:rsidRDefault="00E874B4" w:rsidP="00571C5A">
      <w:r>
        <w:t xml:space="preserve">Queensland Health laboratory, Townsville, Qld (n=16) </w:t>
      </w:r>
    </w:p>
    <w:p w:rsidR="00E874B4" w:rsidRDefault="00E874B4" w:rsidP="00571C5A">
      <w:r>
        <w:t>Microbiology and Infectious Diseases Laboratory, SA Pathology, Adelaide, SA (n=760)</w:t>
      </w:r>
      <w:r w:rsidR="00FA1AD4">
        <w:rPr>
          <w:rStyle w:val="FootnoteReference"/>
        </w:rPr>
        <w:footnoteReference w:id="2"/>
      </w:r>
    </w:p>
    <w:p w:rsidR="00E874B4" w:rsidRDefault="00E874B4" w:rsidP="00571C5A">
      <w:r>
        <w:t xml:space="preserve">Molecular Medicine, Pathology Services, Royal Hobart Hospital, Hobart, </w:t>
      </w:r>
      <w:proofErr w:type="gramStart"/>
      <w:r>
        <w:t>Tas</w:t>
      </w:r>
      <w:proofErr w:type="gramEnd"/>
      <w:r>
        <w:t xml:space="preserve"> (n=85) </w:t>
      </w:r>
    </w:p>
    <w:p w:rsidR="00E874B4" w:rsidRDefault="00E874B4" w:rsidP="00571C5A">
      <w:r>
        <w:t xml:space="preserve">Department of Microbiology, Monash Medical Centre, Clayton, Vic (n=13) </w:t>
      </w:r>
    </w:p>
    <w:p w:rsidR="00E874B4" w:rsidRDefault="00E874B4" w:rsidP="00571C5A">
      <w:r>
        <w:t xml:space="preserve">Molecular Infectious Department, Australian Clinical Labs, Clayton, Vic (n=6) </w:t>
      </w:r>
    </w:p>
    <w:p w:rsidR="00E874B4" w:rsidRDefault="00E874B4" w:rsidP="00571C5A">
      <w:r>
        <w:t xml:space="preserve">The Serology Department, Royal Children’s Hospital, Parkville, Vic (n=154) </w:t>
      </w:r>
    </w:p>
    <w:p w:rsidR="00E874B4" w:rsidRDefault="00E874B4" w:rsidP="00571C5A">
      <w:r>
        <w:t xml:space="preserve">QEII Microbiology Department, </w:t>
      </w:r>
      <w:proofErr w:type="spellStart"/>
      <w:r>
        <w:t>PathWest</w:t>
      </w:r>
      <w:proofErr w:type="spellEnd"/>
      <w:r>
        <w:t xml:space="preserve"> Laboratory Medicine, Nedlands, WA (n=318) </w:t>
      </w:r>
    </w:p>
    <w:p w:rsidR="00E874B4" w:rsidRDefault="00E874B4" w:rsidP="00571C5A">
      <w:r>
        <w:t xml:space="preserve">Upon receipt, samples were allocated a unique laboratory code and entered into the NRRC sample tracking database (Excel and </w:t>
      </w:r>
      <w:proofErr w:type="spellStart"/>
      <w:r>
        <w:t>REDCap</w:t>
      </w:r>
      <w:proofErr w:type="spellEnd"/>
      <w:r>
        <w:t xml:space="preserve">). Samples were then stored at -80 ⁰C until analysed. The presence of rotavirus antigen was confirmed using </w:t>
      </w:r>
      <w:proofErr w:type="spellStart"/>
      <w:r>
        <w:t>ProSpecT</w:t>
      </w:r>
      <w:proofErr w:type="spellEnd"/>
      <w:r>
        <w:t>™ Rotavirus Test, a commercial rotavirus EIA assay (</w:t>
      </w:r>
      <w:proofErr w:type="spellStart"/>
      <w:r>
        <w:t>Thermo</w:t>
      </w:r>
      <w:proofErr w:type="spellEnd"/>
      <w:r>
        <w:t xml:space="preserve"> Fisher), as per manufacturer’s instructions. Samples confirmed as rotavirus positive underwent genotyping analysis, whereas unconfirmed specimens (EIA negative) were not processed further (Figure </w:t>
      </w:r>
      <w:r w:rsidR="00FE7AEA">
        <w:t>1</w:t>
      </w:r>
      <w:r>
        <w:t>).</w:t>
      </w:r>
    </w:p>
    <w:p w:rsidR="00FA1AD4" w:rsidRDefault="00FA1AD4">
      <w:pPr>
        <w:rPr>
          <w:rStyle w:val="Strong"/>
          <w:bCs w:val="0"/>
        </w:rPr>
      </w:pPr>
      <w:r>
        <w:rPr>
          <w:rStyle w:val="Strong"/>
          <w:b w:val="0"/>
          <w:bCs w:val="0"/>
        </w:rPr>
        <w:br w:type="page"/>
      </w:r>
    </w:p>
    <w:p w:rsidR="00E874B4" w:rsidRPr="00C310EB" w:rsidRDefault="00E874B4" w:rsidP="00C310EB">
      <w:pPr>
        <w:pStyle w:val="CDIFigures"/>
      </w:pPr>
      <w:r w:rsidRPr="00C310EB">
        <w:rPr>
          <w:rStyle w:val="Strong"/>
          <w:b/>
          <w:bCs w:val="0"/>
        </w:rPr>
        <w:lastRenderedPageBreak/>
        <w:t xml:space="preserve">Figure </w:t>
      </w:r>
      <w:r w:rsidR="00FE7AEA">
        <w:rPr>
          <w:rStyle w:val="Strong"/>
          <w:b/>
          <w:bCs w:val="0"/>
        </w:rPr>
        <w:t>1</w:t>
      </w:r>
      <w:r w:rsidRPr="00C310EB">
        <w:rPr>
          <w:rStyle w:val="Strong"/>
          <w:b/>
          <w:bCs w:val="0"/>
        </w:rPr>
        <w:t>: Stool sample flowchart</w:t>
      </w:r>
    </w:p>
    <w:p w:rsidR="00E874B4" w:rsidRDefault="00E874B4">
      <w:pPr>
        <w:pStyle w:val="NormalWeb"/>
      </w:pPr>
      <w:r>
        <w:rPr>
          <w:noProof/>
        </w:rPr>
        <w:drawing>
          <wp:inline distT="0" distB="0" distL="0" distR="0">
            <wp:extent cx="6096012" cy="4398273"/>
            <wp:effectExtent l="0" t="0" r="0" b="2540"/>
            <wp:docPr id="6" name="Picture 6" descr="Figure 1 demonstrates the selection criteria for samples processed and reported as part of the 2017 ARSP. For the period of 1 January to 31 December 2017, 2,285 rotavirus positive specimens were received. 94 of these samples were not processed due to an expected low viral load, 101 samples were not analysed due to sample being insufficient (n=8), missing (n=7), or duplicate (n=86). A further 319 samples could not be confirmed as rotavirus positive, and was therefore not processed further. In total, 1,103 samples were confirmed as rotavirus positive and genotyped, of which 89 were identified as vaccine-like. A further 668 samples could not be processed due to time and resource constra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2 demonstrates the selection criteria for samples processed and reported as part of the 2017 ARSP. For the period of 1 January to 31 December 2017, 2,285 rotavirus positive specimens were received. 94 of these samples were not processed due to an expected low viral load, 101 samples were not analysed due to sample being insufficient (n=8), missing (n=7), or duplicate (n=86). A further 319 samples could not be confirmed as rotavirus positive, and was therefore not processed further. In total, 1,103 samples were confirmed as rotavirus positive and genotyped, of which 89 were identified as vaccine-like. A further 668 samples could not be processed due to time and resource constrain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12" cy="4398273"/>
                    </a:xfrm>
                    <a:prstGeom prst="rect">
                      <a:avLst/>
                    </a:prstGeom>
                    <a:noFill/>
                    <a:ln>
                      <a:noFill/>
                    </a:ln>
                  </pic:spPr>
                </pic:pic>
              </a:graphicData>
            </a:graphic>
          </wp:inline>
        </w:drawing>
      </w:r>
    </w:p>
    <w:p w:rsidR="00E874B4" w:rsidRDefault="00E874B4" w:rsidP="00571C5A">
      <w:r>
        <w:t xml:space="preserve">Viral RNA was extracted from 10%–20% faecal extracts using the </w:t>
      </w:r>
      <w:proofErr w:type="spellStart"/>
      <w:r>
        <w:t>QIAamp</w:t>
      </w:r>
      <w:proofErr w:type="spellEnd"/>
      <w:r>
        <w:t xml:space="preserve"> Viral RNA mini extraction kit (</w:t>
      </w:r>
      <w:proofErr w:type="spellStart"/>
      <w:r>
        <w:t>Qiagen</w:t>
      </w:r>
      <w:proofErr w:type="spellEnd"/>
      <w:r>
        <w:t xml:space="preserve">), according to the manufacturer’s instructions. Rotavirus G- and P- genotypes were determined using an in-house hemi-nested multiplex RT-PCR assay. The first round RT-PCR reactions were performed using the </w:t>
      </w:r>
      <w:proofErr w:type="spellStart"/>
      <w:r>
        <w:t>Qiagen</w:t>
      </w:r>
      <w:proofErr w:type="spellEnd"/>
      <w:r>
        <w:t xml:space="preserve"> One Step RT-PCR kit (</w:t>
      </w:r>
      <w:proofErr w:type="spellStart"/>
      <w:r>
        <w:t>Qiagen</w:t>
      </w:r>
      <w:proofErr w:type="spellEnd"/>
      <w:r>
        <w:t>), using VP7 conserved primers VP7F and VP7R, or VP4 conserved primers VP4F and VP4R. The second round genotyping PCR reactions were conducted using specific oligonucleotide primers for G types G1, G2, G3, G4, G8, and G9, or P types P[4], P[6], P[8], P[9], P[10], and P[11].</w:t>
      </w:r>
      <w:r>
        <w:rPr>
          <w:vertAlign w:val="superscript"/>
        </w:rPr>
        <w:t>13–16</w:t>
      </w:r>
      <w:r>
        <w:t xml:space="preserve"> The G- and P- genotype of each sample was assigned using agarose gel analysis of second round PCR products. </w:t>
      </w:r>
    </w:p>
    <w:p w:rsidR="00E874B4" w:rsidRDefault="00E874B4" w:rsidP="00571C5A">
      <w:r>
        <w:t>The VP7 and VP4 nucleotide sequence from PCR non-</w:t>
      </w:r>
      <w:proofErr w:type="spellStart"/>
      <w:r>
        <w:t>typeable</w:t>
      </w:r>
      <w:proofErr w:type="spellEnd"/>
      <w:r>
        <w:t xml:space="preserve"> samples was determined by Sanger sequencing, as the primers used in the current G-typing protocol could not assign a genotype to equine-like G3, G12, and unusual or uncommon rotavirus strains. Suspect vaccine excretion cases from </w:t>
      </w:r>
      <w:proofErr w:type="spellStart"/>
      <w:r>
        <w:t>RotaTeq</w:t>
      </w:r>
      <w:proofErr w:type="spellEnd"/>
      <w:r>
        <w:t xml:space="preserve"> states that could not be P-typed, or </w:t>
      </w:r>
      <w:proofErr w:type="gramStart"/>
      <w:r>
        <w:t>G1P[</w:t>
      </w:r>
      <w:proofErr w:type="gramEnd"/>
      <w:r>
        <w:t xml:space="preserve">8] strains from infants within the age range of recent vaccination in </w:t>
      </w:r>
      <w:proofErr w:type="spellStart"/>
      <w:r>
        <w:t>Rotarix</w:t>
      </w:r>
      <w:proofErr w:type="spellEnd"/>
      <w:r>
        <w:t xml:space="preserve"> states were also sequenced. First round VP7 or VP4 amplicons were purified for sequencing by using the Wizard SV Gel for PCR Clean-Up System (</w:t>
      </w:r>
      <w:proofErr w:type="spellStart"/>
      <w:r>
        <w:t>Promega</w:t>
      </w:r>
      <w:proofErr w:type="spellEnd"/>
      <w:r>
        <w:t xml:space="preserve">), according to the manufacturer’s protocol. Purified DNA together with oligonucleotide primers (VP7F/R or VP4F/R) were sent to the Australian Genome Research Facility, Melbourne, and sequenced using an ABI PRISM </w:t>
      </w:r>
      <w:proofErr w:type="spellStart"/>
      <w:r>
        <w:t>BigDye</w:t>
      </w:r>
      <w:proofErr w:type="spellEnd"/>
      <w:r>
        <w:t xml:space="preserve"> Terminator Cycle Sequencing Reaction Kit (Applied </w:t>
      </w:r>
      <w:proofErr w:type="spellStart"/>
      <w:r>
        <w:t>Biosystems</w:t>
      </w:r>
      <w:proofErr w:type="spellEnd"/>
      <w:r>
        <w:t xml:space="preserve">) in an Applied </w:t>
      </w:r>
      <w:proofErr w:type="spellStart"/>
      <w:r>
        <w:t>Biosystems</w:t>
      </w:r>
      <w:proofErr w:type="spellEnd"/>
      <w:r>
        <w:t xml:space="preserve"> 3730xl DNA </w:t>
      </w:r>
      <w:proofErr w:type="spellStart"/>
      <w:r>
        <w:t>Analyzer</w:t>
      </w:r>
      <w:proofErr w:type="spellEnd"/>
      <w:r>
        <w:t xml:space="preserve"> (Applied </w:t>
      </w:r>
      <w:proofErr w:type="spellStart"/>
      <w:r>
        <w:t>Biosystems</w:t>
      </w:r>
      <w:proofErr w:type="spellEnd"/>
      <w:r>
        <w:t xml:space="preserve">). Sequences were edited with </w:t>
      </w:r>
      <w:proofErr w:type="spellStart"/>
      <w:r>
        <w:t>Sequencher</w:t>
      </w:r>
      <w:proofErr w:type="spellEnd"/>
      <w:r>
        <w:t xml:space="preserve"> v.4.10.1. Genotype assignment was determined using BLAST (http://blast.ncbi.nlm.nih.gov/Blast.cgi) and </w:t>
      </w:r>
      <w:proofErr w:type="spellStart"/>
      <w:r>
        <w:t>RotaC</w:t>
      </w:r>
      <w:proofErr w:type="spellEnd"/>
      <w:r>
        <w:t xml:space="preserve"> v2.0 (http://rotac.regatools.be).</w:t>
      </w:r>
      <w:r>
        <w:rPr>
          <w:vertAlign w:val="superscript"/>
        </w:rPr>
        <w:t>17</w:t>
      </w:r>
      <w:r>
        <w:t xml:space="preserve"> </w:t>
      </w:r>
    </w:p>
    <w:p w:rsidR="00E874B4" w:rsidRDefault="00E874B4" w:rsidP="00571C5A">
      <w:r>
        <w:t xml:space="preserve">Samples sent or identified as vaccine-like were confirmed for vaccine by amplifying a portion of the inner capsid VP6 gene, using human Rot3/Rot5 primers and Superscript III One-Step RT-PCR System with Platinum </w:t>
      </w:r>
      <w:proofErr w:type="spellStart"/>
      <w:r>
        <w:t>Taq</w:t>
      </w:r>
      <w:proofErr w:type="spellEnd"/>
      <w:r>
        <w:t xml:space="preserve"> DNA Polymerase (Invitrogen), as previously described.</w:t>
      </w:r>
      <w:r>
        <w:rPr>
          <w:vertAlign w:val="superscript"/>
        </w:rPr>
        <w:t>18</w:t>
      </w:r>
      <w:proofErr w:type="gramStart"/>
      <w:r>
        <w:rPr>
          <w:vertAlign w:val="superscript"/>
        </w:rPr>
        <w:t>,19</w:t>
      </w:r>
      <w:proofErr w:type="gramEnd"/>
      <w:r>
        <w:t xml:space="preserve"> </w:t>
      </w:r>
    </w:p>
    <w:p w:rsidR="00E874B4" w:rsidRDefault="00E874B4" w:rsidP="00571C5A">
      <w:r>
        <w:lastRenderedPageBreak/>
        <w:t xml:space="preserve">This report presents data on samples collected from 1 January to 31 December 2017 from ACT, NSW, </w:t>
      </w:r>
      <w:proofErr w:type="gramStart"/>
      <w:r>
        <w:t>Tas</w:t>
      </w:r>
      <w:proofErr w:type="gramEnd"/>
      <w:r>
        <w:t xml:space="preserve">, Vic, WA, and from 1 January 2017 – 31 August 2017 in Qld and SA (Figure </w:t>
      </w:r>
      <w:r w:rsidR="00FE7AEA">
        <w:t>2</w:t>
      </w:r>
      <w:r>
        <w:t xml:space="preserve">). No samples were received from NT for the period of 1 June – 31 December. Due to an overwhelming number of samples being sent to the NRRC for 2017 (most received after February 2018), any additional samples from Qld, SA or NT could not be included in this report, as they failed to be received within the reporting cycle required for the Program. Therefore, data presented in this report for the full calendar year is limited to ACT, NSW, and Tasmania for the states and territories that administered </w:t>
      </w:r>
      <w:proofErr w:type="spellStart"/>
      <w:r>
        <w:t>Rotarix</w:t>
      </w:r>
      <w:proofErr w:type="spellEnd"/>
      <w:r>
        <w:t xml:space="preserve"> in the NIP for the full 12 months in 2017 (herein referred to as </w:t>
      </w:r>
      <w:proofErr w:type="spellStart"/>
      <w:r>
        <w:t>Rotarix</w:t>
      </w:r>
      <w:proofErr w:type="spellEnd"/>
      <w:r>
        <w:t xml:space="preserve"> group), and WA/Vic for states that changed to </w:t>
      </w:r>
      <w:proofErr w:type="spellStart"/>
      <w:r>
        <w:t>Rotarix</w:t>
      </w:r>
      <w:proofErr w:type="spellEnd"/>
      <w:r>
        <w:t xml:space="preserve"> on 1 July 2017 (referred to as </w:t>
      </w:r>
      <w:proofErr w:type="spellStart"/>
      <w:r>
        <w:t>RotaTeq</w:t>
      </w:r>
      <w:proofErr w:type="spellEnd"/>
      <w:r>
        <w:t xml:space="preserve"> group). </w:t>
      </w:r>
    </w:p>
    <w:p w:rsidR="00E874B4" w:rsidRPr="00571C5A" w:rsidRDefault="00E874B4" w:rsidP="00571C5A">
      <w:pPr>
        <w:pStyle w:val="CDIFigures"/>
      </w:pPr>
      <w:r w:rsidRPr="00571C5A">
        <w:rPr>
          <w:rStyle w:val="Strong"/>
          <w:b/>
          <w:bCs w:val="0"/>
        </w:rPr>
        <w:t xml:space="preserve">Figure </w:t>
      </w:r>
      <w:r w:rsidR="00FE7AEA">
        <w:rPr>
          <w:rStyle w:val="Strong"/>
          <w:b/>
          <w:bCs w:val="0"/>
        </w:rPr>
        <w:t>2</w:t>
      </w:r>
      <w:r w:rsidRPr="00571C5A">
        <w:rPr>
          <w:rStyle w:val="Strong"/>
          <w:b/>
          <w:bCs w:val="0"/>
        </w:rPr>
        <w:t>: Rotavirus vaccine distribution in the Australian NIP and collaborator locations</w:t>
      </w:r>
    </w:p>
    <w:p w:rsidR="00E874B4" w:rsidRDefault="00E874B4">
      <w:pPr>
        <w:pStyle w:val="NormalWeb"/>
      </w:pPr>
      <w:r>
        <w:rPr>
          <w:noProof/>
        </w:rPr>
        <w:drawing>
          <wp:inline distT="0" distB="0" distL="0" distR="0">
            <wp:extent cx="6840000" cy="3870724"/>
            <wp:effectExtent l="0" t="0" r="0" b="0"/>
            <wp:docPr id="2" name="Picture 2" descr="Figure 2 describes rotavirus vaccine use in Australia during the period 1 Jan – 31 Dec 2017. States and Territories that used Rotarix for all 12 months include the Australian Capital Territory (ACT), New South Wales (NSW), Northern Territory (NT), and Tasmania (Tas). Samples from NT were sent to collaborators located in South Australia (SA) and Western Australia (WA), however no samples for NT were received for the period of 1 Aug – 31 Dec. States that changed their immunisation program from RotaTeq to Rotarix include Queensland (Qld), SA, Victoria (Vic) and WA. Only WA and Vic had all samples processed from 1 Jan – 31 Dec, while Qld and SA were processed up to 31 Aug, due to an overwhelming number of samples being sent to the NRRC for 2017 (most received after February, 2018). Furthermore, any additional samples from these locations could not be included in this report, as they failed to be received within the reporting cycle required for th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describes rotavirus vaccine use in Australia during the period 1 Jan – 31 Dec 2017. States and Territories that used Rotarix for all 12 months include the Australian Capital Territory (ACT), New South Wales (NSW), Northern Territory (NT), and Tasmania (Tas). Samples from NT were sent to collaborators located in South Australia (SA) and Western Australia (WA), however no samples for NT were received for the period of 1 Aug – 31 Dec. States that changed their immunisation program from RotaTeq to Rotarix include Queensland (Qld), SA, Victoria (Vic) and WA. Only WA and Vic had all samples processed from 1 Jan – 31 Dec, while Qld and SA were processed up to 31 Aug, due to an overwhelming number of samples being sent to the NRRC for 2017 (most received after February, 2018). Furthermore, any additional samples from these locations could not be included in this report, as they failed to be received within the reporting cycle required for the Progra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40000" cy="3870724"/>
                    </a:xfrm>
                    <a:prstGeom prst="rect">
                      <a:avLst/>
                    </a:prstGeom>
                    <a:noFill/>
                    <a:ln>
                      <a:noFill/>
                    </a:ln>
                  </pic:spPr>
                </pic:pic>
              </a:graphicData>
            </a:graphic>
          </wp:inline>
        </w:drawing>
      </w:r>
    </w:p>
    <w:p w:rsidR="00E874B4" w:rsidRPr="00571C5A" w:rsidRDefault="00E874B4" w:rsidP="00571C5A">
      <w:pPr>
        <w:pStyle w:val="Heading1"/>
      </w:pPr>
      <w:r w:rsidRPr="00571C5A">
        <w:t xml:space="preserve">Results </w:t>
      </w:r>
    </w:p>
    <w:p w:rsidR="00E874B4" w:rsidRPr="00571C5A" w:rsidRDefault="00E874B4" w:rsidP="00571C5A">
      <w:pPr>
        <w:pStyle w:val="Heading2"/>
      </w:pPr>
      <w:r w:rsidRPr="00571C5A">
        <w:t xml:space="preserve">Number of isolates </w:t>
      </w:r>
    </w:p>
    <w:p w:rsidR="00E874B4" w:rsidRDefault="00E874B4" w:rsidP="004A60F4">
      <w:r>
        <w:t xml:space="preserve">A total of 2,285 rotavirus positive faecal specimens were sent to the NRRC during the period 1 January to 31 December 2017, for genotyping analysis (Figure </w:t>
      </w:r>
      <w:r w:rsidR="00FE7AEA">
        <w:t>1</w:t>
      </w:r>
      <w:r>
        <w:t xml:space="preserve">). Samples with suspected low viral loads (n=94) were stored without analysis, as genotypes could not be consistently assigned to samples with low viral load/high Ct (Ct&gt;27). A further 420 samples were not analysed due to samples being insufficient (n=8), missing (n=7), duplicate (n=86), or could not be confirmed as rotavirus positive by EIA (n=319). Additionally, 668 samples could not be processed due to time and resource limitations. The samples were stored for later analysis as required. </w:t>
      </w:r>
    </w:p>
    <w:p w:rsidR="00E874B4" w:rsidRDefault="00E874B4" w:rsidP="004A60F4">
      <w:r>
        <w:t>In 2017, 1,103 rotavirus positive samples from patients clinically diagnosed with acute gastroenteritis were identified. For analysis, these samples were divided based on whether a sample had no vaccine component identified (described herein as “</w:t>
      </w:r>
      <w:proofErr w:type="spellStart"/>
      <w:r>
        <w:t>wildtype</w:t>
      </w:r>
      <w:proofErr w:type="spellEnd"/>
      <w:r>
        <w:t xml:space="preserve"> rotavirus”) or had a vaccine component identified based on VP6 or VP7 sequence analysis (“vaccine-like”). A total of 1,014 samples were confirmed as </w:t>
      </w:r>
      <w:proofErr w:type="spellStart"/>
      <w:r>
        <w:t>wildtype</w:t>
      </w:r>
      <w:proofErr w:type="spellEnd"/>
      <w:r>
        <w:t xml:space="preserve"> rotavirus positive by RT-PCR </w:t>
      </w:r>
      <w:r>
        <w:lastRenderedPageBreak/>
        <w:t xml:space="preserve">analysis. Of these, 449 were collected from children ≤5 years of age, and 490 were from older children and adults. Samples with no age data (n=75) were analysed as part of the older children/adults group. In addition, 89 samples were identified as rotavirus vaccine-like by VP6 and/or VP7 sequencing. </w:t>
      </w:r>
    </w:p>
    <w:p w:rsidR="00E874B4" w:rsidRPr="00571C5A" w:rsidRDefault="00E874B4" w:rsidP="00571C5A">
      <w:pPr>
        <w:pStyle w:val="Heading2"/>
      </w:pPr>
      <w:proofErr w:type="spellStart"/>
      <w:r w:rsidRPr="00571C5A">
        <w:t>Wildtype</w:t>
      </w:r>
      <w:proofErr w:type="spellEnd"/>
      <w:r w:rsidRPr="00571C5A">
        <w:t xml:space="preserve"> rotavirus specimens: </w:t>
      </w:r>
    </w:p>
    <w:p w:rsidR="00E874B4" w:rsidRPr="00571C5A" w:rsidRDefault="00E874B4" w:rsidP="00571C5A">
      <w:pPr>
        <w:pStyle w:val="Heading3"/>
      </w:pPr>
      <w:r w:rsidRPr="00571C5A">
        <w:t xml:space="preserve">Age distribution for </w:t>
      </w:r>
      <w:proofErr w:type="spellStart"/>
      <w:r w:rsidRPr="00571C5A">
        <w:t>wildtype</w:t>
      </w:r>
      <w:proofErr w:type="spellEnd"/>
      <w:r w:rsidRPr="00571C5A">
        <w:t xml:space="preserve"> rotavirus infections </w:t>
      </w:r>
    </w:p>
    <w:p w:rsidR="00E874B4" w:rsidRDefault="00E874B4" w:rsidP="004A60F4">
      <w:r>
        <w:t>From 1 January to 31 December 2017, 47.8% (n=449/939) of rotavirus positive samples with age data were obtained from children ≤5 years of age (Table 1). Of the children ≤5 years of age subset, over a</w:t>
      </w:r>
      <w:r>
        <w:rPr>
          <w:vertAlign w:val="superscript"/>
        </w:rPr>
        <w:t xml:space="preserve"> </w:t>
      </w:r>
      <w:r>
        <w:t xml:space="preserve">third of all samples (36.5%) (n=164/449) were identified in children 13–24 months old, while the next most common age group was 25–36 months where 22.3% (n=100/449) of cases were found. </w:t>
      </w:r>
    </w:p>
    <w:p w:rsidR="00E874B4" w:rsidRDefault="00E874B4" w:rsidP="004A60F4">
      <w:r>
        <w:t>In addition, 35.2% (n=331/939) of all samples were from individuals ≥20 years of age.</w:t>
      </w:r>
    </w:p>
    <w:p w:rsidR="00B4322A" w:rsidRDefault="00B4322A">
      <w:pPr>
        <w:rPr>
          <w:rStyle w:val="Strong"/>
          <w:bCs w:val="0"/>
        </w:rPr>
      </w:pPr>
      <w:r>
        <w:rPr>
          <w:rStyle w:val="Strong"/>
          <w:b w:val="0"/>
          <w:bCs w:val="0"/>
        </w:rPr>
        <w:br w:type="page"/>
      </w:r>
    </w:p>
    <w:p w:rsidR="00E874B4" w:rsidRPr="00571C5A" w:rsidRDefault="00E874B4" w:rsidP="00571C5A">
      <w:pPr>
        <w:pStyle w:val="CDIFigures"/>
      </w:pPr>
      <w:r w:rsidRPr="00571C5A">
        <w:rPr>
          <w:rStyle w:val="Strong"/>
          <w:b/>
          <w:bCs w:val="0"/>
        </w:rPr>
        <w:lastRenderedPageBreak/>
        <w:t xml:space="preserve">Table 1: Age distribution of rotavirus </w:t>
      </w:r>
      <w:proofErr w:type="spellStart"/>
      <w:r w:rsidRPr="00571C5A">
        <w:rPr>
          <w:rStyle w:val="Strong"/>
          <w:b/>
          <w:bCs w:val="0"/>
        </w:rPr>
        <w:t>wildtype</w:t>
      </w:r>
      <w:proofErr w:type="spellEnd"/>
      <w:r w:rsidRPr="00571C5A">
        <w:rPr>
          <w:rStyle w:val="Strong"/>
          <w:b/>
          <w:bCs w:val="0"/>
        </w:rPr>
        <w:t xml:space="preserve"> gastroenteritis cases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describes the age distribution of rotavirus positive gastroenteritis cases, of which the majority were represented by the 20-80 year old group (27.5%), followed by the 13-24 months of age group (17.5%)."/>
      </w:tblPr>
      <w:tblGrid>
        <w:gridCol w:w="2694"/>
        <w:gridCol w:w="1549"/>
        <w:gridCol w:w="387"/>
        <w:gridCol w:w="1162"/>
        <w:gridCol w:w="775"/>
        <w:gridCol w:w="774"/>
        <w:gridCol w:w="1162"/>
        <w:gridCol w:w="1937"/>
      </w:tblGrid>
      <w:tr w:rsidR="00CA29F6" w:rsidRPr="00E4238E" w:rsidTr="00CA29F6">
        <w:trPr>
          <w:cnfStyle w:val="100000000000" w:firstRow="1" w:lastRow="0" w:firstColumn="0" w:lastColumn="0" w:oddVBand="0" w:evenVBand="0" w:oddHBand="0" w:evenHBand="0" w:firstRowFirstColumn="0" w:firstRowLastColumn="0" w:lastRowFirstColumn="0" w:lastRowLastColumn="0"/>
          <w:tblHeader/>
        </w:trPr>
        <w:tc>
          <w:tcPr>
            <w:tcW w:w="2694" w:type="dxa"/>
            <w:hideMark/>
          </w:tcPr>
          <w:p w:rsidR="00CA29F6" w:rsidRPr="00E4238E" w:rsidRDefault="00CA29F6">
            <w:pPr>
              <w:rPr>
                <w:rFonts w:eastAsia="Times New Roman"/>
                <w:color w:val="FFFFFF" w:themeColor="background1"/>
              </w:rPr>
            </w:pPr>
            <w:r w:rsidRPr="00E4238E">
              <w:rPr>
                <w:rFonts w:eastAsia="Times New Roman"/>
                <w:color w:val="FFFFFF" w:themeColor="background1"/>
              </w:rPr>
              <w:t xml:space="preserve">Age </w:t>
            </w:r>
            <w:r w:rsidRPr="00E4238E">
              <w:rPr>
                <w:rFonts w:eastAsia="Times New Roman"/>
                <w:color w:val="FFFFFF" w:themeColor="background1"/>
              </w:rPr>
              <w:br/>
              <w:t>(months)</w:t>
            </w:r>
          </w:p>
        </w:tc>
        <w:tc>
          <w:tcPr>
            <w:tcW w:w="1936" w:type="dxa"/>
            <w:gridSpan w:val="2"/>
            <w:hideMark/>
          </w:tcPr>
          <w:p w:rsidR="00CA29F6" w:rsidRPr="00E4238E" w:rsidRDefault="00CA29F6" w:rsidP="003D30A2">
            <w:pPr>
              <w:jc w:val="center"/>
              <w:rPr>
                <w:rFonts w:eastAsia="Times New Roman"/>
                <w:color w:val="FFFFFF" w:themeColor="background1"/>
              </w:rPr>
            </w:pPr>
            <w:r w:rsidRPr="00E4238E">
              <w:rPr>
                <w:rFonts w:eastAsia="Times New Roman"/>
                <w:color w:val="FFFFFF" w:themeColor="background1"/>
              </w:rPr>
              <w:t xml:space="preserve">Age </w:t>
            </w:r>
            <w:r w:rsidRPr="00E4238E">
              <w:rPr>
                <w:rFonts w:eastAsia="Times New Roman"/>
                <w:color w:val="FFFFFF" w:themeColor="background1"/>
              </w:rPr>
              <w:br/>
              <w:t>(years)</w:t>
            </w:r>
          </w:p>
        </w:tc>
        <w:tc>
          <w:tcPr>
            <w:tcW w:w="1937" w:type="dxa"/>
            <w:gridSpan w:val="2"/>
            <w:hideMark/>
          </w:tcPr>
          <w:p w:rsidR="00CA29F6" w:rsidRPr="00E4238E" w:rsidRDefault="00CA29F6" w:rsidP="003D30A2">
            <w:pPr>
              <w:jc w:val="center"/>
              <w:rPr>
                <w:rFonts w:eastAsia="Times New Roman"/>
                <w:color w:val="FFFFFF" w:themeColor="background1"/>
              </w:rPr>
            </w:pPr>
            <w:r w:rsidRPr="00E4238E">
              <w:rPr>
                <w:rFonts w:eastAsia="Times New Roman"/>
                <w:color w:val="FFFFFF" w:themeColor="background1"/>
              </w:rPr>
              <w:t>n</w:t>
            </w:r>
          </w:p>
        </w:tc>
        <w:tc>
          <w:tcPr>
            <w:tcW w:w="1936" w:type="dxa"/>
            <w:gridSpan w:val="2"/>
            <w:hideMark/>
          </w:tcPr>
          <w:p w:rsidR="00CA29F6" w:rsidRPr="00E4238E" w:rsidRDefault="00CA29F6" w:rsidP="003D30A2">
            <w:pPr>
              <w:jc w:val="center"/>
              <w:rPr>
                <w:rFonts w:eastAsia="Times New Roman"/>
                <w:color w:val="FFFFFF" w:themeColor="background1"/>
              </w:rPr>
            </w:pPr>
            <w:r w:rsidRPr="00E4238E">
              <w:rPr>
                <w:rFonts w:eastAsia="Times New Roman"/>
                <w:color w:val="FFFFFF" w:themeColor="background1"/>
              </w:rPr>
              <w:t>% of total</w:t>
            </w:r>
          </w:p>
        </w:tc>
        <w:tc>
          <w:tcPr>
            <w:tcW w:w="1937" w:type="dxa"/>
            <w:hideMark/>
          </w:tcPr>
          <w:p w:rsidR="00CA29F6" w:rsidRPr="00E4238E" w:rsidRDefault="00CA29F6" w:rsidP="003D30A2">
            <w:pPr>
              <w:jc w:val="center"/>
              <w:rPr>
                <w:rFonts w:eastAsia="Times New Roman"/>
                <w:color w:val="FFFFFF" w:themeColor="background1"/>
              </w:rPr>
            </w:pPr>
            <w:r w:rsidRPr="00E4238E">
              <w:rPr>
                <w:rFonts w:eastAsia="Times New Roman"/>
                <w:color w:val="FFFFFF" w:themeColor="background1"/>
              </w:rPr>
              <w:t>% ≤5 years of age</w:t>
            </w:r>
          </w:p>
        </w:tc>
      </w:tr>
      <w:tr w:rsidR="00CA29F6" w:rsidTr="00CA29F6">
        <w:tc>
          <w:tcPr>
            <w:tcW w:w="2694" w:type="dxa"/>
            <w:hideMark/>
          </w:tcPr>
          <w:p w:rsidR="00CA29F6" w:rsidRDefault="00CA29F6">
            <w:pPr>
              <w:rPr>
                <w:rFonts w:eastAsia="Times New Roman"/>
              </w:rPr>
            </w:pPr>
            <w:r>
              <w:rPr>
                <w:rFonts w:eastAsia="Times New Roman"/>
              </w:rPr>
              <w:t>0–6</w:t>
            </w:r>
          </w:p>
        </w:tc>
        <w:tc>
          <w:tcPr>
            <w:tcW w:w="1936" w:type="dxa"/>
            <w:gridSpan w:val="2"/>
            <w:hideMark/>
          </w:tcPr>
          <w:p w:rsidR="00CA29F6" w:rsidRDefault="00CA29F6" w:rsidP="003D30A2">
            <w:pPr>
              <w:jc w:val="center"/>
              <w:rPr>
                <w:rFonts w:eastAsia="Times New Roman"/>
              </w:rPr>
            </w:pPr>
          </w:p>
        </w:tc>
        <w:tc>
          <w:tcPr>
            <w:tcW w:w="1937" w:type="dxa"/>
            <w:gridSpan w:val="2"/>
            <w:hideMark/>
          </w:tcPr>
          <w:p w:rsidR="00CA29F6" w:rsidRDefault="00CA29F6" w:rsidP="003D30A2">
            <w:pPr>
              <w:jc w:val="center"/>
              <w:rPr>
                <w:rFonts w:eastAsia="Times New Roman"/>
                <w:sz w:val="24"/>
                <w:szCs w:val="24"/>
              </w:rPr>
            </w:pPr>
            <w:r>
              <w:rPr>
                <w:rFonts w:eastAsia="Times New Roman"/>
              </w:rPr>
              <w:t>44</w:t>
            </w:r>
          </w:p>
        </w:tc>
        <w:tc>
          <w:tcPr>
            <w:tcW w:w="1936" w:type="dxa"/>
            <w:gridSpan w:val="2"/>
            <w:hideMark/>
          </w:tcPr>
          <w:p w:rsidR="00CA29F6" w:rsidRDefault="00CA29F6" w:rsidP="003D30A2">
            <w:pPr>
              <w:jc w:val="center"/>
              <w:rPr>
                <w:rFonts w:eastAsia="Times New Roman"/>
              </w:rPr>
            </w:pPr>
            <w:r>
              <w:rPr>
                <w:rFonts w:eastAsia="Times New Roman"/>
              </w:rPr>
              <w:t>4.7</w:t>
            </w:r>
          </w:p>
        </w:tc>
        <w:tc>
          <w:tcPr>
            <w:tcW w:w="1937" w:type="dxa"/>
            <w:hideMark/>
          </w:tcPr>
          <w:p w:rsidR="00CA29F6" w:rsidRDefault="00CA29F6" w:rsidP="003D30A2">
            <w:pPr>
              <w:jc w:val="center"/>
              <w:rPr>
                <w:rFonts w:eastAsia="Times New Roman"/>
              </w:rPr>
            </w:pPr>
            <w:r>
              <w:rPr>
                <w:rFonts w:eastAsia="Times New Roman"/>
              </w:rPr>
              <w:t>9.8</w:t>
            </w:r>
          </w:p>
        </w:tc>
      </w:tr>
      <w:tr w:rsidR="00CA29F6" w:rsidTr="00CA29F6">
        <w:trPr>
          <w:cnfStyle w:val="000000010000" w:firstRow="0" w:lastRow="0" w:firstColumn="0" w:lastColumn="0" w:oddVBand="0" w:evenVBand="0" w:oddHBand="0" w:evenHBand="1" w:firstRowFirstColumn="0" w:firstRowLastColumn="0" w:lastRowFirstColumn="0" w:lastRowLastColumn="0"/>
        </w:trPr>
        <w:tc>
          <w:tcPr>
            <w:tcW w:w="2694" w:type="dxa"/>
            <w:hideMark/>
          </w:tcPr>
          <w:p w:rsidR="00CA29F6" w:rsidRDefault="00CA29F6">
            <w:pPr>
              <w:rPr>
                <w:rFonts w:eastAsia="Times New Roman"/>
              </w:rPr>
            </w:pPr>
            <w:r>
              <w:rPr>
                <w:rFonts w:eastAsia="Times New Roman"/>
              </w:rPr>
              <w:t>7–12</w:t>
            </w:r>
          </w:p>
        </w:tc>
        <w:tc>
          <w:tcPr>
            <w:tcW w:w="1936" w:type="dxa"/>
            <w:gridSpan w:val="2"/>
            <w:hideMark/>
          </w:tcPr>
          <w:p w:rsidR="00CA29F6" w:rsidRDefault="00CA29F6" w:rsidP="003D30A2">
            <w:pPr>
              <w:jc w:val="center"/>
              <w:rPr>
                <w:rFonts w:eastAsia="Times New Roman"/>
              </w:rPr>
            </w:pPr>
            <w:r>
              <w:rPr>
                <w:rFonts w:eastAsia="Times New Roman"/>
              </w:rPr>
              <w:t>≤1</w:t>
            </w:r>
          </w:p>
        </w:tc>
        <w:tc>
          <w:tcPr>
            <w:tcW w:w="1937" w:type="dxa"/>
            <w:gridSpan w:val="2"/>
            <w:hideMark/>
          </w:tcPr>
          <w:p w:rsidR="00CA29F6" w:rsidRDefault="00CA29F6" w:rsidP="003D30A2">
            <w:pPr>
              <w:jc w:val="center"/>
              <w:rPr>
                <w:rFonts w:eastAsia="Times New Roman"/>
              </w:rPr>
            </w:pPr>
            <w:r>
              <w:rPr>
                <w:rFonts w:eastAsia="Times New Roman"/>
              </w:rPr>
              <w:t>49</w:t>
            </w:r>
          </w:p>
        </w:tc>
        <w:tc>
          <w:tcPr>
            <w:tcW w:w="1936" w:type="dxa"/>
            <w:gridSpan w:val="2"/>
            <w:hideMark/>
          </w:tcPr>
          <w:p w:rsidR="00CA29F6" w:rsidRDefault="00CA29F6" w:rsidP="003D30A2">
            <w:pPr>
              <w:jc w:val="center"/>
              <w:rPr>
                <w:rFonts w:eastAsia="Times New Roman"/>
              </w:rPr>
            </w:pPr>
            <w:r>
              <w:rPr>
                <w:rFonts w:eastAsia="Times New Roman"/>
              </w:rPr>
              <w:t>5.2</w:t>
            </w:r>
          </w:p>
        </w:tc>
        <w:tc>
          <w:tcPr>
            <w:tcW w:w="1937" w:type="dxa"/>
            <w:hideMark/>
          </w:tcPr>
          <w:p w:rsidR="00CA29F6" w:rsidRDefault="00CA29F6" w:rsidP="003D30A2">
            <w:pPr>
              <w:jc w:val="center"/>
              <w:rPr>
                <w:rFonts w:eastAsia="Times New Roman"/>
              </w:rPr>
            </w:pPr>
            <w:r>
              <w:rPr>
                <w:rFonts w:eastAsia="Times New Roman"/>
              </w:rPr>
              <w:t>10.9</w:t>
            </w:r>
          </w:p>
        </w:tc>
      </w:tr>
      <w:tr w:rsidR="00CA29F6" w:rsidTr="00CA29F6">
        <w:tc>
          <w:tcPr>
            <w:tcW w:w="2694" w:type="dxa"/>
            <w:hideMark/>
          </w:tcPr>
          <w:p w:rsidR="00CA29F6" w:rsidRDefault="00CA29F6">
            <w:pPr>
              <w:rPr>
                <w:rFonts w:eastAsia="Times New Roman"/>
              </w:rPr>
            </w:pPr>
            <w:r>
              <w:rPr>
                <w:rFonts w:eastAsia="Times New Roman"/>
              </w:rPr>
              <w:t>13–24</w:t>
            </w:r>
          </w:p>
        </w:tc>
        <w:tc>
          <w:tcPr>
            <w:tcW w:w="1936" w:type="dxa"/>
            <w:gridSpan w:val="2"/>
            <w:hideMark/>
          </w:tcPr>
          <w:p w:rsidR="00CA29F6" w:rsidRDefault="00CA29F6" w:rsidP="003D30A2">
            <w:pPr>
              <w:jc w:val="center"/>
              <w:rPr>
                <w:rFonts w:eastAsia="Times New Roman"/>
              </w:rPr>
            </w:pPr>
            <w:r>
              <w:rPr>
                <w:rFonts w:eastAsia="Times New Roman"/>
              </w:rPr>
              <w:t>1–≤2</w:t>
            </w:r>
          </w:p>
        </w:tc>
        <w:tc>
          <w:tcPr>
            <w:tcW w:w="1937" w:type="dxa"/>
            <w:gridSpan w:val="2"/>
            <w:hideMark/>
          </w:tcPr>
          <w:p w:rsidR="00CA29F6" w:rsidRDefault="00CA29F6" w:rsidP="003D30A2">
            <w:pPr>
              <w:jc w:val="center"/>
              <w:rPr>
                <w:rFonts w:eastAsia="Times New Roman"/>
              </w:rPr>
            </w:pPr>
            <w:r>
              <w:rPr>
                <w:rFonts w:eastAsia="Times New Roman"/>
              </w:rPr>
              <w:t>164</w:t>
            </w:r>
          </w:p>
        </w:tc>
        <w:tc>
          <w:tcPr>
            <w:tcW w:w="1936" w:type="dxa"/>
            <w:gridSpan w:val="2"/>
            <w:hideMark/>
          </w:tcPr>
          <w:p w:rsidR="00CA29F6" w:rsidRDefault="00CA29F6" w:rsidP="003D30A2">
            <w:pPr>
              <w:jc w:val="center"/>
              <w:rPr>
                <w:rFonts w:eastAsia="Times New Roman"/>
              </w:rPr>
            </w:pPr>
            <w:r>
              <w:rPr>
                <w:rFonts w:eastAsia="Times New Roman"/>
              </w:rPr>
              <w:t>17.5</w:t>
            </w:r>
          </w:p>
        </w:tc>
        <w:tc>
          <w:tcPr>
            <w:tcW w:w="1937" w:type="dxa"/>
            <w:hideMark/>
          </w:tcPr>
          <w:p w:rsidR="00CA29F6" w:rsidRDefault="00CA29F6" w:rsidP="003D30A2">
            <w:pPr>
              <w:jc w:val="center"/>
              <w:rPr>
                <w:rFonts w:eastAsia="Times New Roman"/>
              </w:rPr>
            </w:pPr>
            <w:r>
              <w:rPr>
                <w:rFonts w:eastAsia="Times New Roman"/>
              </w:rPr>
              <w:t>36.5</w:t>
            </w:r>
          </w:p>
        </w:tc>
      </w:tr>
      <w:tr w:rsidR="00CA29F6" w:rsidTr="00CA29F6">
        <w:trPr>
          <w:cnfStyle w:val="000000010000" w:firstRow="0" w:lastRow="0" w:firstColumn="0" w:lastColumn="0" w:oddVBand="0" w:evenVBand="0" w:oddHBand="0" w:evenHBand="1" w:firstRowFirstColumn="0" w:firstRowLastColumn="0" w:lastRowFirstColumn="0" w:lastRowLastColumn="0"/>
        </w:trPr>
        <w:tc>
          <w:tcPr>
            <w:tcW w:w="2694" w:type="dxa"/>
            <w:hideMark/>
          </w:tcPr>
          <w:p w:rsidR="00CA29F6" w:rsidRDefault="00CA29F6">
            <w:pPr>
              <w:rPr>
                <w:rFonts w:eastAsia="Times New Roman"/>
              </w:rPr>
            </w:pPr>
            <w:r>
              <w:rPr>
                <w:rFonts w:eastAsia="Times New Roman"/>
              </w:rPr>
              <w:t>25–36</w:t>
            </w:r>
          </w:p>
        </w:tc>
        <w:tc>
          <w:tcPr>
            <w:tcW w:w="1936" w:type="dxa"/>
            <w:gridSpan w:val="2"/>
            <w:hideMark/>
          </w:tcPr>
          <w:p w:rsidR="00CA29F6" w:rsidRDefault="00CA29F6" w:rsidP="003D30A2">
            <w:pPr>
              <w:jc w:val="center"/>
              <w:rPr>
                <w:rFonts w:eastAsia="Times New Roman"/>
              </w:rPr>
            </w:pPr>
            <w:r>
              <w:rPr>
                <w:rFonts w:eastAsia="Times New Roman"/>
              </w:rPr>
              <w:t>2–≤3</w:t>
            </w:r>
          </w:p>
        </w:tc>
        <w:tc>
          <w:tcPr>
            <w:tcW w:w="1937" w:type="dxa"/>
            <w:gridSpan w:val="2"/>
            <w:hideMark/>
          </w:tcPr>
          <w:p w:rsidR="00CA29F6" w:rsidRDefault="00CA29F6" w:rsidP="003D30A2">
            <w:pPr>
              <w:jc w:val="center"/>
              <w:rPr>
                <w:rFonts w:eastAsia="Times New Roman"/>
              </w:rPr>
            </w:pPr>
            <w:r>
              <w:rPr>
                <w:rFonts w:eastAsia="Times New Roman"/>
              </w:rPr>
              <w:t>100</w:t>
            </w:r>
          </w:p>
        </w:tc>
        <w:tc>
          <w:tcPr>
            <w:tcW w:w="1936" w:type="dxa"/>
            <w:gridSpan w:val="2"/>
            <w:hideMark/>
          </w:tcPr>
          <w:p w:rsidR="00CA29F6" w:rsidRDefault="00CA29F6" w:rsidP="003D30A2">
            <w:pPr>
              <w:jc w:val="center"/>
              <w:rPr>
                <w:rFonts w:eastAsia="Times New Roman"/>
              </w:rPr>
            </w:pPr>
            <w:r>
              <w:rPr>
                <w:rFonts w:eastAsia="Times New Roman"/>
              </w:rPr>
              <w:t>10.6</w:t>
            </w:r>
          </w:p>
        </w:tc>
        <w:tc>
          <w:tcPr>
            <w:tcW w:w="1937" w:type="dxa"/>
            <w:hideMark/>
          </w:tcPr>
          <w:p w:rsidR="00CA29F6" w:rsidRDefault="00CA29F6" w:rsidP="003D30A2">
            <w:pPr>
              <w:jc w:val="center"/>
              <w:rPr>
                <w:rFonts w:eastAsia="Times New Roman"/>
              </w:rPr>
            </w:pPr>
            <w:r>
              <w:rPr>
                <w:rFonts w:eastAsia="Times New Roman"/>
              </w:rPr>
              <w:t>22.3</w:t>
            </w:r>
          </w:p>
        </w:tc>
      </w:tr>
      <w:tr w:rsidR="00CA29F6" w:rsidTr="00CA29F6">
        <w:tc>
          <w:tcPr>
            <w:tcW w:w="2694" w:type="dxa"/>
            <w:hideMark/>
          </w:tcPr>
          <w:p w:rsidR="00CA29F6" w:rsidRDefault="00CA29F6">
            <w:pPr>
              <w:rPr>
                <w:rFonts w:eastAsia="Times New Roman"/>
              </w:rPr>
            </w:pPr>
            <w:r>
              <w:rPr>
                <w:rFonts w:eastAsia="Times New Roman"/>
              </w:rPr>
              <w:t>37–48</w:t>
            </w:r>
          </w:p>
        </w:tc>
        <w:tc>
          <w:tcPr>
            <w:tcW w:w="1936" w:type="dxa"/>
            <w:gridSpan w:val="2"/>
            <w:hideMark/>
          </w:tcPr>
          <w:p w:rsidR="00CA29F6" w:rsidRDefault="00CA29F6" w:rsidP="003D30A2">
            <w:pPr>
              <w:jc w:val="center"/>
              <w:rPr>
                <w:rFonts w:eastAsia="Times New Roman"/>
              </w:rPr>
            </w:pPr>
            <w:r>
              <w:rPr>
                <w:rFonts w:eastAsia="Times New Roman"/>
              </w:rPr>
              <w:t>3–≤4</w:t>
            </w:r>
          </w:p>
        </w:tc>
        <w:tc>
          <w:tcPr>
            <w:tcW w:w="1937" w:type="dxa"/>
            <w:gridSpan w:val="2"/>
            <w:hideMark/>
          </w:tcPr>
          <w:p w:rsidR="00CA29F6" w:rsidRDefault="00CA29F6" w:rsidP="003D30A2">
            <w:pPr>
              <w:jc w:val="center"/>
              <w:rPr>
                <w:rFonts w:eastAsia="Times New Roman"/>
              </w:rPr>
            </w:pPr>
            <w:r>
              <w:rPr>
                <w:rFonts w:eastAsia="Times New Roman"/>
              </w:rPr>
              <w:t>48</w:t>
            </w:r>
          </w:p>
        </w:tc>
        <w:tc>
          <w:tcPr>
            <w:tcW w:w="1936" w:type="dxa"/>
            <w:gridSpan w:val="2"/>
            <w:hideMark/>
          </w:tcPr>
          <w:p w:rsidR="00CA29F6" w:rsidRDefault="00CA29F6" w:rsidP="003D30A2">
            <w:pPr>
              <w:jc w:val="center"/>
              <w:rPr>
                <w:rFonts w:eastAsia="Times New Roman"/>
              </w:rPr>
            </w:pPr>
            <w:r>
              <w:rPr>
                <w:rFonts w:eastAsia="Times New Roman"/>
              </w:rPr>
              <w:t>5.1</w:t>
            </w:r>
          </w:p>
        </w:tc>
        <w:tc>
          <w:tcPr>
            <w:tcW w:w="1937" w:type="dxa"/>
            <w:hideMark/>
          </w:tcPr>
          <w:p w:rsidR="00CA29F6" w:rsidRDefault="00CA29F6" w:rsidP="003D30A2">
            <w:pPr>
              <w:jc w:val="center"/>
              <w:rPr>
                <w:rFonts w:eastAsia="Times New Roman"/>
              </w:rPr>
            </w:pPr>
            <w:r>
              <w:rPr>
                <w:rFonts w:eastAsia="Times New Roman"/>
              </w:rPr>
              <w:t>10.7</w:t>
            </w:r>
          </w:p>
        </w:tc>
      </w:tr>
      <w:tr w:rsidR="00CA29F6" w:rsidTr="00CA29F6">
        <w:trPr>
          <w:cnfStyle w:val="000000010000" w:firstRow="0" w:lastRow="0" w:firstColumn="0" w:lastColumn="0" w:oddVBand="0" w:evenVBand="0" w:oddHBand="0" w:evenHBand="1" w:firstRowFirstColumn="0" w:firstRowLastColumn="0" w:lastRowFirstColumn="0" w:lastRowLastColumn="0"/>
        </w:trPr>
        <w:tc>
          <w:tcPr>
            <w:tcW w:w="2694" w:type="dxa"/>
            <w:hideMark/>
          </w:tcPr>
          <w:p w:rsidR="00CA29F6" w:rsidRDefault="00CA29F6">
            <w:pPr>
              <w:rPr>
                <w:rFonts w:eastAsia="Times New Roman"/>
              </w:rPr>
            </w:pPr>
            <w:r>
              <w:rPr>
                <w:rFonts w:eastAsia="Times New Roman"/>
              </w:rPr>
              <w:t>49–60</w:t>
            </w:r>
          </w:p>
        </w:tc>
        <w:tc>
          <w:tcPr>
            <w:tcW w:w="1936" w:type="dxa"/>
            <w:gridSpan w:val="2"/>
            <w:hideMark/>
          </w:tcPr>
          <w:p w:rsidR="00CA29F6" w:rsidRDefault="00CA29F6" w:rsidP="003D30A2">
            <w:pPr>
              <w:jc w:val="center"/>
              <w:rPr>
                <w:rFonts w:eastAsia="Times New Roman"/>
              </w:rPr>
            </w:pPr>
            <w:r>
              <w:rPr>
                <w:rFonts w:eastAsia="Times New Roman"/>
              </w:rPr>
              <w:t>4–≤5</w:t>
            </w:r>
          </w:p>
        </w:tc>
        <w:tc>
          <w:tcPr>
            <w:tcW w:w="1937" w:type="dxa"/>
            <w:gridSpan w:val="2"/>
            <w:hideMark/>
          </w:tcPr>
          <w:p w:rsidR="00CA29F6" w:rsidRDefault="00CA29F6" w:rsidP="003D30A2">
            <w:pPr>
              <w:jc w:val="center"/>
              <w:rPr>
                <w:rFonts w:eastAsia="Times New Roman"/>
              </w:rPr>
            </w:pPr>
            <w:r>
              <w:rPr>
                <w:rFonts w:eastAsia="Times New Roman"/>
              </w:rPr>
              <w:t>44</w:t>
            </w:r>
          </w:p>
        </w:tc>
        <w:tc>
          <w:tcPr>
            <w:tcW w:w="1936" w:type="dxa"/>
            <w:gridSpan w:val="2"/>
            <w:hideMark/>
          </w:tcPr>
          <w:p w:rsidR="00CA29F6" w:rsidRDefault="00CA29F6" w:rsidP="003D30A2">
            <w:pPr>
              <w:jc w:val="center"/>
              <w:rPr>
                <w:rFonts w:eastAsia="Times New Roman"/>
              </w:rPr>
            </w:pPr>
            <w:r>
              <w:rPr>
                <w:rFonts w:eastAsia="Times New Roman"/>
              </w:rPr>
              <w:t>4.7</w:t>
            </w:r>
          </w:p>
        </w:tc>
        <w:tc>
          <w:tcPr>
            <w:tcW w:w="1937" w:type="dxa"/>
            <w:hideMark/>
          </w:tcPr>
          <w:p w:rsidR="00CA29F6" w:rsidRDefault="00CA29F6" w:rsidP="003D30A2">
            <w:pPr>
              <w:jc w:val="center"/>
              <w:rPr>
                <w:rFonts w:eastAsia="Times New Roman"/>
              </w:rPr>
            </w:pPr>
            <w:r>
              <w:rPr>
                <w:rFonts w:eastAsia="Times New Roman"/>
              </w:rPr>
              <w:t>9.8</w:t>
            </w:r>
          </w:p>
        </w:tc>
      </w:tr>
      <w:tr w:rsidR="00CA29F6" w:rsidRPr="00E43E33" w:rsidTr="00CA29F6">
        <w:tc>
          <w:tcPr>
            <w:tcW w:w="2694" w:type="dxa"/>
            <w:shd w:val="clear" w:color="auto" w:fill="D9D9D9" w:themeFill="background1" w:themeFillShade="D9"/>
            <w:hideMark/>
          </w:tcPr>
          <w:p w:rsidR="00CA29F6" w:rsidRPr="00E43E33" w:rsidRDefault="00CA29F6">
            <w:pPr>
              <w:rPr>
                <w:rFonts w:eastAsia="Times New Roman"/>
                <w:b/>
              </w:rPr>
            </w:pPr>
            <w:r w:rsidRPr="00E43E33">
              <w:rPr>
                <w:rFonts w:eastAsia="Times New Roman"/>
                <w:b/>
              </w:rPr>
              <w:t>Subtotal</w:t>
            </w:r>
          </w:p>
        </w:tc>
        <w:tc>
          <w:tcPr>
            <w:tcW w:w="1936" w:type="dxa"/>
            <w:gridSpan w:val="2"/>
            <w:shd w:val="clear" w:color="auto" w:fill="D9D9D9" w:themeFill="background1" w:themeFillShade="D9"/>
            <w:hideMark/>
          </w:tcPr>
          <w:p w:rsidR="00CA29F6" w:rsidRPr="00E43E33" w:rsidRDefault="00CA29F6" w:rsidP="003D30A2">
            <w:pPr>
              <w:jc w:val="center"/>
              <w:rPr>
                <w:rFonts w:eastAsia="Times New Roman"/>
                <w:b/>
              </w:rPr>
            </w:pPr>
          </w:p>
        </w:tc>
        <w:tc>
          <w:tcPr>
            <w:tcW w:w="1937" w:type="dxa"/>
            <w:gridSpan w:val="2"/>
            <w:shd w:val="clear" w:color="auto" w:fill="D9D9D9" w:themeFill="background1" w:themeFillShade="D9"/>
            <w:hideMark/>
          </w:tcPr>
          <w:p w:rsidR="00CA29F6" w:rsidRPr="00E43E33" w:rsidRDefault="00CA29F6" w:rsidP="003D30A2">
            <w:pPr>
              <w:jc w:val="center"/>
              <w:rPr>
                <w:rFonts w:eastAsia="Times New Roman"/>
                <w:b/>
                <w:sz w:val="24"/>
                <w:szCs w:val="24"/>
              </w:rPr>
            </w:pPr>
            <w:r w:rsidRPr="00E43E33">
              <w:rPr>
                <w:rFonts w:eastAsia="Times New Roman"/>
                <w:b/>
              </w:rPr>
              <w:t>449</w:t>
            </w:r>
          </w:p>
        </w:tc>
        <w:tc>
          <w:tcPr>
            <w:tcW w:w="1936" w:type="dxa"/>
            <w:gridSpan w:val="2"/>
            <w:shd w:val="clear" w:color="auto" w:fill="D9D9D9" w:themeFill="background1" w:themeFillShade="D9"/>
            <w:hideMark/>
          </w:tcPr>
          <w:p w:rsidR="00CA29F6" w:rsidRPr="00E43E33" w:rsidRDefault="00CA29F6" w:rsidP="003D30A2">
            <w:pPr>
              <w:jc w:val="center"/>
              <w:rPr>
                <w:rFonts w:eastAsia="Times New Roman"/>
                <w:b/>
              </w:rPr>
            </w:pPr>
            <w:r w:rsidRPr="00E43E33">
              <w:rPr>
                <w:rFonts w:eastAsia="Times New Roman"/>
                <w:b/>
              </w:rPr>
              <w:t>47.8</w:t>
            </w:r>
          </w:p>
        </w:tc>
        <w:tc>
          <w:tcPr>
            <w:tcW w:w="1937" w:type="dxa"/>
            <w:shd w:val="clear" w:color="auto" w:fill="D9D9D9" w:themeFill="background1" w:themeFillShade="D9"/>
            <w:hideMark/>
          </w:tcPr>
          <w:p w:rsidR="00CA29F6" w:rsidRPr="00E43E33" w:rsidRDefault="00CA29F6" w:rsidP="003D30A2">
            <w:pPr>
              <w:jc w:val="center"/>
              <w:rPr>
                <w:rFonts w:eastAsia="Times New Roman"/>
                <w:b/>
              </w:rPr>
            </w:pPr>
            <w:r w:rsidRPr="00E43E33">
              <w:rPr>
                <w:rFonts w:eastAsia="Times New Roman"/>
                <w:b/>
              </w:rPr>
              <w:t>-</w:t>
            </w:r>
          </w:p>
        </w:tc>
      </w:tr>
      <w:tr w:rsidR="00CA29F6" w:rsidTr="00CA29F6">
        <w:trPr>
          <w:cnfStyle w:val="000000010000" w:firstRow="0" w:lastRow="0" w:firstColumn="0" w:lastColumn="0" w:oddVBand="0" w:evenVBand="0" w:oddHBand="0" w:evenHBand="1" w:firstRowFirstColumn="0" w:firstRowLastColumn="0" w:lastRowFirstColumn="0" w:lastRowLastColumn="0"/>
        </w:trPr>
        <w:tc>
          <w:tcPr>
            <w:tcW w:w="2694" w:type="dxa"/>
            <w:hideMark/>
          </w:tcPr>
          <w:p w:rsidR="00CA29F6" w:rsidRDefault="00CA29F6">
            <w:pPr>
              <w:rPr>
                <w:rFonts w:eastAsia="Times New Roman"/>
              </w:rPr>
            </w:pPr>
            <w:r>
              <w:rPr>
                <w:rFonts w:eastAsia="Times New Roman"/>
              </w:rPr>
              <w:t>61–120</w:t>
            </w:r>
          </w:p>
        </w:tc>
        <w:tc>
          <w:tcPr>
            <w:tcW w:w="1936" w:type="dxa"/>
            <w:gridSpan w:val="2"/>
            <w:hideMark/>
          </w:tcPr>
          <w:p w:rsidR="00CA29F6" w:rsidRDefault="00CA29F6" w:rsidP="003D30A2">
            <w:pPr>
              <w:jc w:val="center"/>
              <w:rPr>
                <w:rFonts w:eastAsia="Times New Roman"/>
              </w:rPr>
            </w:pPr>
            <w:r>
              <w:rPr>
                <w:rFonts w:eastAsia="Times New Roman"/>
              </w:rPr>
              <w:t>5–≤10</w:t>
            </w:r>
          </w:p>
        </w:tc>
        <w:tc>
          <w:tcPr>
            <w:tcW w:w="1937" w:type="dxa"/>
            <w:gridSpan w:val="2"/>
            <w:hideMark/>
          </w:tcPr>
          <w:p w:rsidR="00CA29F6" w:rsidRDefault="00CA29F6" w:rsidP="003D30A2">
            <w:pPr>
              <w:jc w:val="center"/>
              <w:rPr>
                <w:rFonts w:eastAsia="Times New Roman"/>
              </w:rPr>
            </w:pPr>
            <w:r>
              <w:rPr>
                <w:rFonts w:eastAsia="Times New Roman"/>
              </w:rPr>
              <w:t>92</w:t>
            </w:r>
          </w:p>
        </w:tc>
        <w:tc>
          <w:tcPr>
            <w:tcW w:w="1936" w:type="dxa"/>
            <w:gridSpan w:val="2"/>
            <w:hideMark/>
          </w:tcPr>
          <w:p w:rsidR="00CA29F6" w:rsidRDefault="00CA29F6" w:rsidP="003D30A2">
            <w:pPr>
              <w:jc w:val="center"/>
              <w:rPr>
                <w:rFonts w:eastAsia="Times New Roman"/>
              </w:rPr>
            </w:pPr>
            <w:r>
              <w:rPr>
                <w:rFonts w:eastAsia="Times New Roman"/>
              </w:rPr>
              <w:t>9.8</w:t>
            </w:r>
          </w:p>
        </w:tc>
        <w:tc>
          <w:tcPr>
            <w:tcW w:w="1937" w:type="dxa"/>
            <w:hideMark/>
          </w:tcPr>
          <w:p w:rsidR="00CA29F6" w:rsidRDefault="00CA29F6" w:rsidP="003D30A2">
            <w:pPr>
              <w:jc w:val="center"/>
              <w:rPr>
                <w:rFonts w:eastAsia="Times New Roman"/>
              </w:rPr>
            </w:pPr>
          </w:p>
        </w:tc>
      </w:tr>
      <w:tr w:rsidR="00CA29F6" w:rsidTr="00CA29F6">
        <w:tc>
          <w:tcPr>
            <w:tcW w:w="2694" w:type="dxa"/>
            <w:hideMark/>
          </w:tcPr>
          <w:p w:rsidR="00CA29F6" w:rsidRDefault="00CA29F6">
            <w:pPr>
              <w:rPr>
                <w:rFonts w:eastAsia="Times New Roman"/>
                <w:sz w:val="24"/>
                <w:szCs w:val="24"/>
              </w:rPr>
            </w:pPr>
            <w:r>
              <w:rPr>
                <w:rFonts w:eastAsia="Times New Roman"/>
              </w:rPr>
              <w:t>121–240</w:t>
            </w:r>
          </w:p>
        </w:tc>
        <w:tc>
          <w:tcPr>
            <w:tcW w:w="1936" w:type="dxa"/>
            <w:gridSpan w:val="2"/>
            <w:hideMark/>
          </w:tcPr>
          <w:p w:rsidR="00CA29F6" w:rsidRDefault="00CA29F6" w:rsidP="003D30A2">
            <w:pPr>
              <w:jc w:val="center"/>
              <w:rPr>
                <w:rFonts w:eastAsia="Times New Roman"/>
              </w:rPr>
            </w:pPr>
            <w:r>
              <w:rPr>
                <w:rFonts w:eastAsia="Times New Roman"/>
              </w:rPr>
              <w:t>10–≤20</w:t>
            </w:r>
          </w:p>
        </w:tc>
        <w:tc>
          <w:tcPr>
            <w:tcW w:w="1937" w:type="dxa"/>
            <w:gridSpan w:val="2"/>
            <w:hideMark/>
          </w:tcPr>
          <w:p w:rsidR="00CA29F6" w:rsidRDefault="00CA29F6" w:rsidP="003D30A2">
            <w:pPr>
              <w:jc w:val="center"/>
              <w:rPr>
                <w:rFonts w:eastAsia="Times New Roman"/>
              </w:rPr>
            </w:pPr>
            <w:r>
              <w:rPr>
                <w:rFonts w:eastAsia="Times New Roman"/>
              </w:rPr>
              <w:t>67</w:t>
            </w:r>
          </w:p>
        </w:tc>
        <w:tc>
          <w:tcPr>
            <w:tcW w:w="1936" w:type="dxa"/>
            <w:gridSpan w:val="2"/>
            <w:hideMark/>
          </w:tcPr>
          <w:p w:rsidR="00CA29F6" w:rsidRDefault="00CA29F6" w:rsidP="003D30A2">
            <w:pPr>
              <w:jc w:val="center"/>
              <w:rPr>
                <w:rFonts w:eastAsia="Times New Roman"/>
              </w:rPr>
            </w:pPr>
            <w:r>
              <w:rPr>
                <w:rFonts w:eastAsia="Times New Roman"/>
              </w:rPr>
              <w:t>7.1</w:t>
            </w:r>
          </w:p>
        </w:tc>
        <w:tc>
          <w:tcPr>
            <w:tcW w:w="1937" w:type="dxa"/>
            <w:hideMark/>
          </w:tcPr>
          <w:p w:rsidR="00CA29F6" w:rsidRDefault="00CA29F6" w:rsidP="003D30A2">
            <w:pPr>
              <w:jc w:val="center"/>
              <w:rPr>
                <w:rFonts w:eastAsia="Times New Roman"/>
              </w:rPr>
            </w:pPr>
          </w:p>
        </w:tc>
      </w:tr>
      <w:tr w:rsidR="00CA29F6" w:rsidTr="00CA29F6">
        <w:trPr>
          <w:cnfStyle w:val="000000010000" w:firstRow="0" w:lastRow="0" w:firstColumn="0" w:lastColumn="0" w:oddVBand="0" w:evenVBand="0" w:oddHBand="0" w:evenHBand="1" w:firstRowFirstColumn="0" w:firstRowLastColumn="0" w:lastRowFirstColumn="0" w:lastRowLastColumn="0"/>
        </w:trPr>
        <w:tc>
          <w:tcPr>
            <w:tcW w:w="2694" w:type="dxa"/>
            <w:hideMark/>
          </w:tcPr>
          <w:p w:rsidR="00CA29F6" w:rsidRDefault="00CA29F6">
            <w:pPr>
              <w:rPr>
                <w:rFonts w:eastAsia="Times New Roman"/>
                <w:sz w:val="24"/>
                <w:szCs w:val="24"/>
              </w:rPr>
            </w:pPr>
            <w:r>
              <w:rPr>
                <w:rFonts w:eastAsia="Times New Roman"/>
              </w:rPr>
              <w:t>241–960</w:t>
            </w:r>
          </w:p>
        </w:tc>
        <w:tc>
          <w:tcPr>
            <w:tcW w:w="1936" w:type="dxa"/>
            <w:gridSpan w:val="2"/>
            <w:hideMark/>
          </w:tcPr>
          <w:p w:rsidR="00CA29F6" w:rsidRDefault="00CA29F6" w:rsidP="003D30A2">
            <w:pPr>
              <w:jc w:val="center"/>
              <w:rPr>
                <w:rFonts w:eastAsia="Times New Roman"/>
              </w:rPr>
            </w:pPr>
            <w:r>
              <w:rPr>
                <w:rFonts w:eastAsia="Times New Roman"/>
              </w:rPr>
              <w:t>20–≤80</w:t>
            </w:r>
          </w:p>
        </w:tc>
        <w:tc>
          <w:tcPr>
            <w:tcW w:w="1937" w:type="dxa"/>
            <w:gridSpan w:val="2"/>
            <w:hideMark/>
          </w:tcPr>
          <w:p w:rsidR="00CA29F6" w:rsidRDefault="00CA29F6" w:rsidP="003D30A2">
            <w:pPr>
              <w:jc w:val="center"/>
              <w:rPr>
                <w:rFonts w:eastAsia="Times New Roman"/>
              </w:rPr>
            </w:pPr>
            <w:r>
              <w:rPr>
                <w:rFonts w:eastAsia="Times New Roman"/>
              </w:rPr>
              <w:t>258</w:t>
            </w:r>
          </w:p>
        </w:tc>
        <w:tc>
          <w:tcPr>
            <w:tcW w:w="1936" w:type="dxa"/>
            <w:gridSpan w:val="2"/>
            <w:hideMark/>
          </w:tcPr>
          <w:p w:rsidR="00CA29F6" w:rsidRDefault="00CA29F6" w:rsidP="003D30A2">
            <w:pPr>
              <w:jc w:val="center"/>
              <w:rPr>
                <w:rFonts w:eastAsia="Times New Roman"/>
              </w:rPr>
            </w:pPr>
            <w:r>
              <w:rPr>
                <w:rFonts w:eastAsia="Times New Roman"/>
              </w:rPr>
              <w:t>27.5</w:t>
            </w:r>
          </w:p>
        </w:tc>
        <w:tc>
          <w:tcPr>
            <w:tcW w:w="1937" w:type="dxa"/>
            <w:hideMark/>
          </w:tcPr>
          <w:p w:rsidR="00CA29F6" w:rsidRDefault="00CA29F6" w:rsidP="003D30A2">
            <w:pPr>
              <w:jc w:val="center"/>
              <w:rPr>
                <w:rFonts w:eastAsia="Times New Roman"/>
              </w:rPr>
            </w:pPr>
          </w:p>
        </w:tc>
      </w:tr>
      <w:tr w:rsidR="00CA29F6" w:rsidTr="00CA29F6">
        <w:tc>
          <w:tcPr>
            <w:tcW w:w="2694" w:type="dxa"/>
            <w:hideMark/>
          </w:tcPr>
          <w:p w:rsidR="00CA29F6" w:rsidRDefault="00CA29F6">
            <w:pPr>
              <w:rPr>
                <w:rFonts w:eastAsia="Times New Roman"/>
                <w:sz w:val="24"/>
                <w:szCs w:val="24"/>
              </w:rPr>
            </w:pPr>
            <w:r>
              <w:rPr>
                <w:rFonts w:eastAsia="Times New Roman"/>
              </w:rPr>
              <w:t>961+</w:t>
            </w:r>
          </w:p>
        </w:tc>
        <w:tc>
          <w:tcPr>
            <w:tcW w:w="1936" w:type="dxa"/>
            <w:gridSpan w:val="2"/>
            <w:hideMark/>
          </w:tcPr>
          <w:p w:rsidR="00CA29F6" w:rsidRDefault="00CA29F6" w:rsidP="003D30A2">
            <w:pPr>
              <w:jc w:val="center"/>
              <w:rPr>
                <w:rFonts w:eastAsia="Times New Roman"/>
              </w:rPr>
            </w:pPr>
            <w:r>
              <w:rPr>
                <w:rFonts w:eastAsia="Times New Roman"/>
              </w:rPr>
              <w:t>&gt;80</w:t>
            </w:r>
          </w:p>
        </w:tc>
        <w:tc>
          <w:tcPr>
            <w:tcW w:w="1937" w:type="dxa"/>
            <w:gridSpan w:val="2"/>
            <w:hideMark/>
          </w:tcPr>
          <w:p w:rsidR="00CA29F6" w:rsidRDefault="00CA29F6" w:rsidP="003D30A2">
            <w:pPr>
              <w:jc w:val="center"/>
              <w:rPr>
                <w:rFonts w:eastAsia="Times New Roman"/>
              </w:rPr>
            </w:pPr>
            <w:r>
              <w:rPr>
                <w:rFonts w:eastAsia="Times New Roman"/>
              </w:rPr>
              <w:t>73</w:t>
            </w:r>
          </w:p>
        </w:tc>
        <w:tc>
          <w:tcPr>
            <w:tcW w:w="1936" w:type="dxa"/>
            <w:gridSpan w:val="2"/>
            <w:hideMark/>
          </w:tcPr>
          <w:p w:rsidR="00CA29F6" w:rsidRDefault="00CA29F6" w:rsidP="003D30A2">
            <w:pPr>
              <w:jc w:val="center"/>
              <w:rPr>
                <w:rFonts w:eastAsia="Times New Roman"/>
              </w:rPr>
            </w:pPr>
            <w:r>
              <w:rPr>
                <w:rFonts w:eastAsia="Times New Roman"/>
              </w:rPr>
              <w:t>7.8</w:t>
            </w:r>
          </w:p>
        </w:tc>
        <w:tc>
          <w:tcPr>
            <w:tcW w:w="1937" w:type="dxa"/>
            <w:hideMark/>
          </w:tcPr>
          <w:p w:rsidR="00CA29F6" w:rsidRDefault="00CA29F6" w:rsidP="003D30A2">
            <w:pPr>
              <w:jc w:val="center"/>
              <w:rPr>
                <w:rFonts w:eastAsia="Times New Roman"/>
              </w:rPr>
            </w:pPr>
          </w:p>
        </w:tc>
      </w:tr>
      <w:tr w:rsidR="00CA29F6" w:rsidRPr="00E4238E" w:rsidTr="00CA29F6">
        <w:trPr>
          <w:cnfStyle w:val="000000010000" w:firstRow="0" w:lastRow="0" w:firstColumn="0" w:lastColumn="0" w:oddVBand="0" w:evenVBand="0" w:oddHBand="0" w:evenHBand="1" w:firstRowFirstColumn="0" w:firstRowLastColumn="0" w:lastRowFirstColumn="0" w:lastRowLastColumn="0"/>
        </w:trPr>
        <w:tc>
          <w:tcPr>
            <w:tcW w:w="2694" w:type="dxa"/>
            <w:shd w:val="clear" w:color="auto" w:fill="FDE9D9" w:themeFill="accent6" w:themeFillTint="33"/>
            <w:hideMark/>
          </w:tcPr>
          <w:p w:rsidR="00CA29F6" w:rsidRPr="00E4238E" w:rsidRDefault="00CA29F6">
            <w:pPr>
              <w:rPr>
                <w:rFonts w:eastAsia="Times New Roman"/>
                <w:b/>
                <w:sz w:val="24"/>
                <w:szCs w:val="24"/>
              </w:rPr>
            </w:pPr>
            <w:proofErr w:type="spellStart"/>
            <w:r w:rsidRPr="00E4238E">
              <w:rPr>
                <w:rFonts w:eastAsia="Times New Roman"/>
                <w:b/>
              </w:rPr>
              <w:t>Total</w:t>
            </w:r>
            <w:r w:rsidRPr="00E4238E">
              <w:rPr>
                <w:rFonts w:eastAsia="Times New Roman"/>
                <w:b/>
                <w:vertAlign w:val="superscript"/>
              </w:rPr>
              <w:t>a</w:t>
            </w:r>
            <w:proofErr w:type="spellEnd"/>
          </w:p>
        </w:tc>
        <w:tc>
          <w:tcPr>
            <w:tcW w:w="1549" w:type="dxa"/>
            <w:shd w:val="clear" w:color="auto" w:fill="FDE9D9" w:themeFill="accent6" w:themeFillTint="33"/>
            <w:hideMark/>
          </w:tcPr>
          <w:p w:rsidR="00CA29F6" w:rsidRPr="00E4238E" w:rsidRDefault="00CA29F6" w:rsidP="003D30A2">
            <w:pPr>
              <w:jc w:val="center"/>
              <w:rPr>
                <w:rFonts w:eastAsia="Times New Roman"/>
                <w:b/>
              </w:rPr>
            </w:pPr>
          </w:p>
        </w:tc>
        <w:tc>
          <w:tcPr>
            <w:tcW w:w="1549" w:type="dxa"/>
            <w:gridSpan w:val="2"/>
            <w:shd w:val="clear" w:color="auto" w:fill="FDE9D9" w:themeFill="accent6" w:themeFillTint="33"/>
            <w:hideMark/>
          </w:tcPr>
          <w:p w:rsidR="00CA29F6" w:rsidRPr="00E4238E" w:rsidRDefault="00CA29F6" w:rsidP="003D30A2">
            <w:pPr>
              <w:jc w:val="center"/>
              <w:rPr>
                <w:rFonts w:eastAsia="Times New Roman"/>
                <w:b/>
                <w:sz w:val="24"/>
                <w:szCs w:val="24"/>
              </w:rPr>
            </w:pPr>
            <w:r w:rsidRPr="00E4238E">
              <w:rPr>
                <w:rFonts w:eastAsia="Times New Roman"/>
                <w:b/>
              </w:rPr>
              <w:t>939</w:t>
            </w:r>
          </w:p>
        </w:tc>
        <w:tc>
          <w:tcPr>
            <w:tcW w:w="1549" w:type="dxa"/>
            <w:gridSpan w:val="2"/>
            <w:shd w:val="clear" w:color="auto" w:fill="FDE9D9" w:themeFill="accent6" w:themeFillTint="33"/>
            <w:hideMark/>
          </w:tcPr>
          <w:p w:rsidR="00CA29F6" w:rsidRPr="00E4238E" w:rsidRDefault="00CA29F6" w:rsidP="003D30A2">
            <w:pPr>
              <w:jc w:val="center"/>
              <w:rPr>
                <w:rFonts w:eastAsia="Times New Roman"/>
                <w:b/>
              </w:rPr>
            </w:pPr>
            <w:r w:rsidRPr="00E4238E">
              <w:rPr>
                <w:rFonts w:eastAsia="Times New Roman"/>
                <w:b/>
              </w:rPr>
              <w:t>-</w:t>
            </w:r>
          </w:p>
        </w:tc>
        <w:tc>
          <w:tcPr>
            <w:tcW w:w="3099" w:type="dxa"/>
            <w:gridSpan w:val="2"/>
            <w:shd w:val="clear" w:color="auto" w:fill="FDE9D9" w:themeFill="accent6" w:themeFillTint="33"/>
            <w:hideMark/>
          </w:tcPr>
          <w:p w:rsidR="00CA29F6" w:rsidRPr="00E4238E" w:rsidRDefault="00CA29F6" w:rsidP="003D30A2">
            <w:pPr>
              <w:jc w:val="center"/>
              <w:rPr>
                <w:rFonts w:eastAsia="Times New Roman"/>
                <w:b/>
              </w:rPr>
            </w:pPr>
          </w:p>
        </w:tc>
      </w:tr>
    </w:tbl>
    <w:p w:rsidR="00E874B4" w:rsidRPr="00C84A62" w:rsidRDefault="00C84A62" w:rsidP="00C84A62">
      <w:pPr>
        <w:pStyle w:val="CDIfootnotes"/>
      </w:pPr>
      <w:proofErr w:type="spellStart"/>
      <w:proofErr w:type="gramStart"/>
      <w:r>
        <w:t>a</w:t>
      </w:r>
      <w:proofErr w:type="spellEnd"/>
      <w:proofErr w:type="gramEnd"/>
      <w:r w:rsidR="00571C5A" w:rsidRPr="00C84A62">
        <w:tab/>
      </w:r>
      <w:r w:rsidR="00E874B4" w:rsidRPr="00C84A62">
        <w:t>Excluding 75 specimens with unknown age</w:t>
      </w:r>
    </w:p>
    <w:p w:rsidR="00E874B4" w:rsidRDefault="00E874B4">
      <w:pPr>
        <w:pStyle w:val="Heading3"/>
        <w:rPr>
          <w:rFonts w:eastAsia="Times New Roman"/>
        </w:rPr>
      </w:pPr>
      <w:proofErr w:type="spellStart"/>
      <w:r>
        <w:rPr>
          <w:rFonts w:eastAsia="Times New Roman"/>
        </w:rPr>
        <w:t>Wildtype</w:t>
      </w:r>
      <w:proofErr w:type="spellEnd"/>
      <w:r>
        <w:rPr>
          <w:rFonts w:eastAsia="Times New Roman"/>
        </w:rPr>
        <w:t xml:space="preserve"> rotavirus genotype distribution </w:t>
      </w:r>
    </w:p>
    <w:p w:rsidR="00E874B4" w:rsidRDefault="00E874B4" w:rsidP="004A60F4">
      <w:r>
        <w:t xml:space="preserve">Genotype analysis was performed on the 1,014 confirmed rotavirus positive cases from children and adults (Table 2). </w:t>
      </w:r>
      <w:proofErr w:type="gramStart"/>
      <w:r>
        <w:t>G2P[</w:t>
      </w:r>
      <w:proofErr w:type="gramEnd"/>
      <w:r>
        <w:t xml:space="preserve">4] was the most common genotype identified nationally, representing 39% of all specimens analysed. This genotype was identified as the dominant genotype in NT, SA, </w:t>
      </w:r>
      <w:proofErr w:type="gramStart"/>
      <w:r>
        <w:t>Tas</w:t>
      </w:r>
      <w:proofErr w:type="gramEnd"/>
      <w:r>
        <w:t xml:space="preserve">, and WA, representing 99%, 68%, 40%, and 66% of strains respectively. </w:t>
      </w:r>
    </w:p>
    <w:p w:rsidR="006033FF" w:rsidRDefault="006033FF" w:rsidP="008F36C6">
      <w:pPr>
        <w:pStyle w:val="CDIFigures"/>
        <w:rPr>
          <w:rStyle w:val="Strong"/>
          <w:b/>
          <w:bCs w:val="0"/>
        </w:rPr>
        <w:sectPr w:rsidR="006033FF"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p>
    <w:p w:rsidR="00E874B4" w:rsidRPr="008F36C6" w:rsidRDefault="00E874B4" w:rsidP="008F36C6">
      <w:pPr>
        <w:pStyle w:val="CDIFigures"/>
      </w:pPr>
      <w:r w:rsidRPr="008F36C6">
        <w:rPr>
          <w:rStyle w:val="Strong"/>
          <w:b/>
          <w:bCs w:val="0"/>
        </w:rPr>
        <w:lastRenderedPageBreak/>
        <w:t>Table 2: Rotavirus G- and P- genotype distribution in infants, children and adults, 1 January to 31 December 2017</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describes the genotype distribution of all rotavirus positive samples from 2017, which had no vaccine-component identified. Of 1,014 samples, 39% were G2P[4], while the second and third most common genotypes found were equine-like G3P[8] (25%) and G8P[8] (16%)."/>
      </w:tblPr>
      <w:tblGrid>
        <w:gridCol w:w="1850"/>
        <w:gridCol w:w="1040"/>
        <w:gridCol w:w="670"/>
        <w:gridCol w:w="670"/>
        <w:gridCol w:w="670"/>
        <w:gridCol w:w="670"/>
        <w:gridCol w:w="670"/>
        <w:gridCol w:w="670"/>
        <w:gridCol w:w="670"/>
        <w:gridCol w:w="670"/>
        <w:gridCol w:w="670"/>
        <w:gridCol w:w="670"/>
        <w:gridCol w:w="670"/>
        <w:gridCol w:w="670"/>
        <w:gridCol w:w="670"/>
        <w:gridCol w:w="670"/>
        <w:gridCol w:w="670"/>
        <w:gridCol w:w="670"/>
        <w:gridCol w:w="670"/>
        <w:gridCol w:w="670"/>
      </w:tblGrid>
      <w:tr w:rsidR="00B51865" w:rsidTr="005B3964">
        <w:trPr>
          <w:cnfStyle w:val="100000000000" w:firstRow="1" w:lastRow="0" w:firstColumn="0" w:lastColumn="0" w:oddVBand="0" w:evenVBand="0" w:oddHBand="0" w:evenHBand="0" w:firstRowFirstColumn="0" w:firstRowLastColumn="0" w:lastRowFirstColumn="0" w:lastRowLastColumn="0"/>
          <w:tblHeader/>
        </w:trPr>
        <w:tc>
          <w:tcPr>
            <w:tcW w:w="1850" w:type="dxa"/>
            <w:vMerge w:val="restart"/>
            <w:hideMark/>
          </w:tcPr>
          <w:p w:rsidR="00E874B4" w:rsidRPr="00975CCA" w:rsidRDefault="00E874B4">
            <w:pPr>
              <w:rPr>
                <w:rFonts w:eastAsia="Times New Roman"/>
                <w:color w:val="FFFFFF" w:themeColor="background1"/>
              </w:rPr>
            </w:pPr>
            <w:r w:rsidRPr="00975CCA">
              <w:rPr>
                <w:rFonts w:eastAsia="Times New Roman"/>
                <w:color w:val="FFFFFF" w:themeColor="background1"/>
              </w:rPr>
              <w:t>Centre</w:t>
            </w:r>
          </w:p>
        </w:tc>
        <w:tc>
          <w:tcPr>
            <w:tcW w:w="1040" w:type="dxa"/>
            <w:vMerge w:val="restart"/>
            <w:hideMark/>
          </w:tcPr>
          <w:p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Type total</w:t>
            </w:r>
          </w:p>
        </w:tc>
        <w:tc>
          <w:tcPr>
            <w:tcW w:w="1340" w:type="dxa"/>
            <w:gridSpan w:val="2"/>
            <w:hideMark/>
          </w:tcPr>
          <w:p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G1P[8]</w:t>
            </w:r>
          </w:p>
        </w:tc>
        <w:tc>
          <w:tcPr>
            <w:tcW w:w="1340" w:type="dxa"/>
            <w:gridSpan w:val="2"/>
            <w:hideMark/>
          </w:tcPr>
          <w:p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G2P[4]</w:t>
            </w:r>
          </w:p>
        </w:tc>
        <w:tc>
          <w:tcPr>
            <w:tcW w:w="1340" w:type="dxa"/>
            <w:gridSpan w:val="2"/>
            <w:hideMark/>
          </w:tcPr>
          <w:p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G3P[8]</w:t>
            </w:r>
          </w:p>
        </w:tc>
        <w:tc>
          <w:tcPr>
            <w:tcW w:w="1340" w:type="dxa"/>
            <w:gridSpan w:val="2"/>
            <w:hideMark/>
          </w:tcPr>
          <w:p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G3P[8]</w:t>
            </w:r>
            <w:r w:rsidRPr="00975CCA">
              <w:rPr>
                <w:rFonts w:eastAsia="Times New Roman"/>
                <w:color w:val="FFFFFF" w:themeColor="background1"/>
                <w:vertAlign w:val="superscript"/>
              </w:rPr>
              <w:t>a</w:t>
            </w:r>
          </w:p>
        </w:tc>
        <w:tc>
          <w:tcPr>
            <w:tcW w:w="1340" w:type="dxa"/>
            <w:gridSpan w:val="2"/>
            <w:hideMark/>
          </w:tcPr>
          <w:p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G8P[8]</w:t>
            </w:r>
          </w:p>
        </w:tc>
        <w:tc>
          <w:tcPr>
            <w:tcW w:w="1340" w:type="dxa"/>
            <w:gridSpan w:val="2"/>
            <w:hideMark/>
          </w:tcPr>
          <w:p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G9P[8]</w:t>
            </w:r>
          </w:p>
        </w:tc>
        <w:tc>
          <w:tcPr>
            <w:tcW w:w="1340" w:type="dxa"/>
            <w:gridSpan w:val="2"/>
            <w:hideMark/>
          </w:tcPr>
          <w:p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G12P[8]</w:t>
            </w:r>
          </w:p>
        </w:tc>
        <w:tc>
          <w:tcPr>
            <w:tcW w:w="1340" w:type="dxa"/>
            <w:gridSpan w:val="2"/>
            <w:hideMark/>
          </w:tcPr>
          <w:p w:rsidR="00E874B4" w:rsidRPr="00975CCA" w:rsidRDefault="00E874B4" w:rsidP="00B51865">
            <w:pPr>
              <w:jc w:val="center"/>
              <w:rPr>
                <w:rFonts w:eastAsia="Times New Roman"/>
                <w:color w:val="FFFFFF" w:themeColor="background1"/>
              </w:rPr>
            </w:pPr>
            <w:proofErr w:type="spellStart"/>
            <w:r w:rsidRPr="00975CCA">
              <w:rPr>
                <w:rFonts w:eastAsia="Times New Roman"/>
                <w:color w:val="FFFFFF" w:themeColor="background1"/>
              </w:rPr>
              <w:t>Other</w:t>
            </w:r>
            <w:r w:rsidRPr="00975CCA">
              <w:rPr>
                <w:rFonts w:eastAsia="Times New Roman"/>
                <w:color w:val="FFFFFF" w:themeColor="background1"/>
                <w:vertAlign w:val="superscript"/>
              </w:rPr>
              <w:t>b</w:t>
            </w:r>
            <w:proofErr w:type="spellEnd"/>
          </w:p>
        </w:tc>
        <w:tc>
          <w:tcPr>
            <w:tcW w:w="1340" w:type="dxa"/>
            <w:gridSpan w:val="2"/>
            <w:hideMark/>
          </w:tcPr>
          <w:p w:rsidR="00E874B4" w:rsidRPr="00975CCA" w:rsidRDefault="00E874B4" w:rsidP="00B51865">
            <w:pPr>
              <w:jc w:val="center"/>
              <w:rPr>
                <w:rFonts w:eastAsia="Times New Roman"/>
                <w:color w:val="FFFFFF" w:themeColor="background1"/>
              </w:rPr>
            </w:pPr>
            <w:r w:rsidRPr="00975CCA">
              <w:rPr>
                <w:rFonts w:eastAsia="Times New Roman"/>
                <w:color w:val="FFFFFF" w:themeColor="background1"/>
              </w:rPr>
              <w:t>Non-</w:t>
            </w:r>
            <w:proofErr w:type="spellStart"/>
            <w:r w:rsidRPr="00975CCA">
              <w:rPr>
                <w:rFonts w:eastAsia="Times New Roman"/>
                <w:color w:val="FFFFFF" w:themeColor="background1"/>
              </w:rPr>
              <w:t>type</w:t>
            </w:r>
            <w:r w:rsidRPr="00975CCA">
              <w:rPr>
                <w:rFonts w:eastAsia="Times New Roman"/>
                <w:color w:val="FFFFFF" w:themeColor="background1"/>
                <w:vertAlign w:val="superscript"/>
              </w:rPr>
              <w:t>c</w:t>
            </w:r>
            <w:proofErr w:type="spellEnd"/>
          </w:p>
        </w:tc>
      </w:tr>
      <w:tr w:rsidR="005B3964" w:rsidTr="00ED0AB4">
        <w:trPr>
          <w:cnfStyle w:val="100000000000" w:firstRow="1" w:lastRow="0" w:firstColumn="0" w:lastColumn="0" w:oddVBand="0" w:evenVBand="0" w:oddHBand="0" w:evenHBand="0" w:firstRowFirstColumn="0" w:firstRowLastColumn="0" w:lastRowFirstColumn="0" w:lastRowLastColumn="0"/>
          <w:tblHeader/>
        </w:trPr>
        <w:tc>
          <w:tcPr>
            <w:tcW w:w="1850" w:type="dxa"/>
            <w:vMerge/>
            <w:hideMark/>
          </w:tcPr>
          <w:p w:rsidR="00E874B4" w:rsidRPr="00975CCA" w:rsidRDefault="00E874B4">
            <w:pPr>
              <w:rPr>
                <w:rFonts w:eastAsia="Times New Roman"/>
                <w:color w:val="FFFFFF" w:themeColor="background1"/>
                <w:sz w:val="24"/>
                <w:szCs w:val="24"/>
              </w:rPr>
            </w:pPr>
          </w:p>
        </w:tc>
        <w:tc>
          <w:tcPr>
            <w:tcW w:w="1040" w:type="dxa"/>
            <w:vMerge/>
            <w:hideMark/>
          </w:tcPr>
          <w:p w:rsidR="00E874B4" w:rsidRPr="00975CCA" w:rsidRDefault="00E874B4" w:rsidP="00B51865">
            <w:pPr>
              <w:jc w:val="center"/>
              <w:rPr>
                <w:rFonts w:eastAsia="Times New Roman"/>
                <w:color w:val="FFFFFF" w:themeColor="background1"/>
                <w:sz w:val="24"/>
                <w:szCs w:val="24"/>
              </w:rPr>
            </w:pPr>
          </w:p>
        </w:tc>
        <w:tc>
          <w:tcPr>
            <w:tcW w:w="670" w:type="dxa"/>
            <w:shd w:val="clear" w:color="auto" w:fill="DBE5F1" w:themeFill="accent1" w:themeFillTint="33"/>
            <w:hideMark/>
          </w:tcPr>
          <w:p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rsidR="00E874B4" w:rsidRPr="00ED0AB4" w:rsidRDefault="00E874B4" w:rsidP="00B51865">
            <w:pPr>
              <w:jc w:val="center"/>
              <w:rPr>
                <w:rFonts w:eastAsia="Times New Roman"/>
              </w:rPr>
            </w:pPr>
            <w:r w:rsidRPr="00ED0AB4">
              <w:rPr>
                <w:rFonts w:eastAsia="Times New Roman"/>
              </w:rPr>
              <w:t>n</w:t>
            </w:r>
          </w:p>
        </w:tc>
        <w:tc>
          <w:tcPr>
            <w:tcW w:w="670" w:type="dxa"/>
            <w:shd w:val="clear" w:color="auto" w:fill="DBE5F1" w:themeFill="accent1" w:themeFillTint="33"/>
            <w:hideMark/>
          </w:tcPr>
          <w:p w:rsidR="00E874B4" w:rsidRPr="00ED0AB4" w:rsidRDefault="00E874B4" w:rsidP="00B51865">
            <w:pPr>
              <w:jc w:val="center"/>
              <w:rPr>
                <w:rFonts w:eastAsia="Times New Roman"/>
              </w:rPr>
            </w:pPr>
            <w:r w:rsidRPr="00ED0AB4">
              <w:rPr>
                <w:rFonts w:eastAsia="Times New Roman"/>
              </w:rPr>
              <w:t>%</w:t>
            </w:r>
          </w:p>
        </w:tc>
        <w:tc>
          <w:tcPr>
            <w:tcW w:w="670" w:type="dxa"/>
            <w:shd w:val="clear" w:color="auto" w:fill="FFFFFF" w:themeFill="background1"/>
            <w:hideMark/>
          </w:tcPr>
          <w:p w:rsidR="00E874B4" w:rsidRPr="00ED0AB4" w:rsidRDefault="00E874B4" w:rsidP="00B51865">
            <w:pPr>
              <w:jc w:val="center"/>
              <w:rPr>
                <w:rFonts w:eastAsia="Times New Roman"/>
              </w:rPr>
            </w:pPr>
            <w:r w:rsidRPr="00ED0AB4">
              <w:rPr>
                <w:rFonts w:eastAsia="Times New Roman"/>
              </w:rPr>
              <w:t>n</w:t>
            </w:r>
          </w:p>
        </w:tc>
      </w:tr>
      <w:tr w:rsidR="00ED0AB4" w:rsidTr="00ED0AB4">
        <w:tc>
          <w:tcPr>
            <w:tcW w:w="1850" w:type="dxa"/>
            <w:shd w:val="clear" w:color="auto" w:fill="FFFFFF" w:themeFill="background1"/>
            <w:hideMark/>
          </w:tcPr>
          <w:p w:rsidR="00E874B4" w:rsidRDefault="00E874B4">
            <w:pPr>
              <w:rPr>
                <w:rFonts w:eastAsia="Times New Roman"/>
              </w:rPr>
            </w:pPr>
            <w:r>
              <w:rPr>
                <w:rFonts w:eastAsia="Times New Roman"/>
              </w:rPr>
              <w:t>ACT</w:t>
            </w:r>
          </w:p>
        </w:tc>
        <w:tc>
          <w:tcPr>
            <w:tcW w:w="1040" w:type="dxa"/>
            <w:shd w:val="clear" w:color="auto" w:fill="FFFFFF" w:themeFill="background1"/>
            <w:hideMark/>
          </w:tcPr>
          <w:p w:rsidR="00E874B4" w:rsidRDefault="00E874B4" w:rsidP="00B51865">
            <w:pPr>
              <w:jc w:val="center"/>
              <w:rPr>
                <w:rFonts w:eastAsia="Times New Roman"/>
              </w:rPr>
            </w:pPr>
            <w:r>
              <w:rPr>
                <w:rFonts w:eastAsia="Times New Roman"/>
              </w:rPr>
              <w:t>19</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11</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2</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84</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16</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5</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r>
      <w:tr w:rsidR="00ED0AB4" w:rsidTr="00ED0AB4">
        <w:trPr>
          <w:cnfStyle w:val="000000010000" w:firstRow="0" w:lastRow="0" w:firstColumn="0" w:lastColumn="0" w:oddVBand="0" w:evenVBand="0" w:oddHBand="0" w:evenHBand="1" w:firstRowFirstColumn="0" w:firstRowLastColumn="0" w:lastRowFirstColumn="0" w:lastRowLastColumn="0"/>
        </w:trPr>
        <w:tc>
          <w:tcPr>
            <w:tcW w:w="1850" w:type="dxa"/>
            <w:shd w:val="clear" w:color="auto" w:fill="FFFFFF" w:themeFill="background1"/>
            <w:hideMark/>
          </w:tcPr>
          <w:p w:rsidR="00E874B4" w:rsidRDefault="00E874B4">
            <w:pPr>
              <w:rPr>
                <w:rFonts w:eastAsia="Times New Roman"/>
              </w:rPr>
            </w:pPr>
            <w:r>
              <w:rPr>
                <w:rFonts w:eastAsia="Times New Roman"/>
              </w:rPr>
              <w:t>New South Wales</w:t>
            </w:r>
          </w:p>
        </w:tc>
        <w:tc>
          <w:tcPr>
            <w:tcW w:w="1040" w:type="dxa"/>
            <w:shd w:val="clear" w:color="auto" w:fill="FFFFFF" w:themeFill="background1"/>
            <w:hideMark/>
          </w:tcPr>
          <w:p w:rsidR="00E874B4" w:rsidRDefault="00E874B4" w:rsidP="00B51865">
            <w:pPr>
              <w:jc w:val="center"/>
              <w:rPr>
                <w:rFonts w:eastAsia="Times New Roman"/>
              </w:rPr>
            </w:pPr>
            <w:r>
              <w:rPr>
                <w:rFonts w:eastAsia="Times New Roman"/>
              </w:rPr>
              <w:t>363</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4</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9</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32</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7</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25</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51</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185</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25</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91</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3</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12</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&lt;1</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2</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9</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4</w:t>
            </w:r>
          </w:p>
        </w:tc>
      </w:tr>
      <w:tr w:rsidR="00ED0AB4" w:rsidTr="00ED0AB4">
        <w:tc>
          <w:tcPr>
            <w:tcW w:w="1850" w:type="dxa"/>
            <w:shd w:val="clear" w:color="auto" w:fill="FFFFFF" w:themeFill="background1"/>
            <w:hideMark/>
          </w:tcPr>
          <w:p w:rsidR="00E874B4" w:rsidRDefault="00E874B4">
            <w:pPr>
              <w:rPr>
                <w:rFonts w:eastAsia="Times New Roman"/>
              </w:rPr>
            </w:pPr>
            <w:r>
              <w:rPr>
                <w:rFonts w:eastAsia="Times New Roman"/>
              </w:rPr>
              <w:t xml:space="preserve">Northern </w:t>
            </w:r>
            <w:proofErr w:type="spellStart"/>
            <w:r>
              <w:rPr>
                <w:rFonts w:eastAsia="Times New Roman"/>
              </w:rPr>
              <w:t>Territory</w:t>
            </w:r>
            <w:r w:rsidRPr="006033FF">
              <w:rPr>
                <w:rFonts w:eastAsia="Times New Roman"/>
                <w:vertAlign w:val="superscript"/>
              </w:rPr>
              <w:t>d</w:t>
            </w:r>
            <w:proofErr w:type="spellEnd"/>
          </w:p>
        </w:tc>
        <w:tc>
          <w:tcPr>
            <w:tcW w:w="1040" w:type="dxa"/>
            <w:shd w:val="clear" w:color="auto" w:fill="FFFFFF" w:themeFill="background1"/>
            <w:hideMark/>
          </w:tcPr>
          <w:p w:rsidR="00E874B4" w:rsidRDefault="00E874B4" w:rsidP="00B51865">
            <w:pPr>
              <w:jc w:val="center"/>
              <w:rPr>
                <w:rFonts w:eastAsia="Times New Roman"/>
              </w:rPr>
            </w:pPr>
            <w:r>
              <w:rPr>
                <w:rFonts w:eastAsia="Times New Roman"/>
              </w:rPr>
              <w:t>100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99</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99</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r>
      <w:tr w:rsidR="00ED0AB4" w:rsidTr="00ED0AB4">
        <w:trPr>
          <w:cnfStyle w:val="000000010000" w:firstRow="0" w:lastRow="0" w:firstColumn="0" w:lastColumn="0" w:oddVBand="0" w:evenVBand="0" w:oddHBand="0" w:evenHBand="1" w:firstRowFirstColumn="0" w:firstRowLastColumn="0" w:lastRowFirstColumn="0" w:lastRowLastColumn="0"/>
        </w:trPr>
        <w:tc>
          <w:tcPr>
            <w:tcW w:w="1850" w:type="dxa"/>
            <w:shd w:val="clear" w:color="auto" w:fill="FFFFFF" w:themeFill="background1"/>
            <w:hideMark/>
          </w:tcPr>
          <w:p w:rsidR="00E874B4" w:rsidRDefault="00E874B4">
            <w:pPr>
              <w:rPr>
                <w:rFonts w:eastAsia="Times New Roman"/>
              </w:rPr>
            </w:pPr>
            <w:r>
              <w:rPr>
                <w:rFonts w:eastAsia="Times New Roman"/>
              </w:rPr>
              <w:t>Queensland</w:t>
            </w:r>
          </w:p>
        </w:tc>
        <w:tc>
          <w:tcPr>
            <w:tcW w:w="1040" w:type="dxa"/>
            <w:shd w:val="clear" w:color="auto" w:fill="FFFFFF" w:themeFill="background1"/>
            <w:hideMark/>
          </w:tcPr>
          <w:p w:rsidR="00E874B4" w:rsidRDefault="00E874B4" w:rsidP="00B51865">
            <w:pPr>
              <w:jc w:val="center"/>
              <w:rPr>
                <w:rFonts w:eastAsia="Times New Roman"/>
              </w:rPr>
            </w:pPr>
            <w:r>
              <w:rPr>
                <w:rFonts w:eastAsia="Times New Roman"/>
              </w:rPr>
              <w:t>56</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2</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9</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5</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20</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11</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13</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7</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32</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18</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5</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3</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20</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11</w:t>
            </w:r>
          </w:p>
        </w:tc>
      </w:tr>
      <w:tr w:rsidR="00ED0AB4" w:rsidTr="00ED0AB4">
        <w:tc>
          <w:tcPr>
            <w:tcW w:w="1850" w:type="dxa"/>
            <w:shd w:val="clear" w:color="auto" w:fill="FFFFFF" w:themeFill="background1"/>
            <w:hideMark/>
          </w:tcPr>
          <w:p w:rsidR="00E874B4" w:rsidRDefault="00E874B4">
            <w:pPr>
              <w:rPr>
                <w:rFonts w:eastAsia="Times New Roman"/>
              </w:rPr>
            </w:pPr>
            <w:r>
              <w:rPr>
                <w:rFonts w:eastAsia="Times New Roman"/>
              </w:rPr>
              <w:t>South Australia</w:t>
            </w:r>
          </w:p>
        </w:tc>
        <w:tc>
          <w:tcPr>
            <w:tcW w:w="1040" w:type="dxa"/>
            <w:shd w:val="clear" w:color="auto" w:fill="FFFFFF" w:themeFill="background1"/>
            <w:hideMark/>
          </w:tcPr>
          <w:p w:rsidR="00E874B4" w:rsidRDefault="00E874B4" w:rsidP="00B51865">
            <w:pPr>
              <w:jc w:val="center"/>
              <w:rPr>
                <w:rFonts w:eastAsia="Times New Roman"/>
              </w:rPr>
            </w:pPr>
            <w:r>
              <w:rPr>
                <w:rFonts w:eastAsia="Times New Roman"/>
              </w:rPr>
              <w:t>112</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2</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2</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68</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76</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13</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15</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5</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6</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4</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4</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4</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4</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4</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4</w:t>
            </w:r>
          </w:p>
        </w:tc>
      </w:tr>
      <w:tr w:rsidR="00ED0AB4" w:rsidTr="00ED0AB4">
        <w:trPr>
          <w:cnfStyle w:val="000000010000" w:firstRow="0" w:lastRow="0" w:firstColumn="0" w:lastColumn="0" w:oddVBand="0" w:evenVBand="0" w:oddHBand="0" w:evenHBand="1" w:firstRowFirstColumn="0" w:firstRowLastColumn="0" w:lastRowFirstColumn="0" w:lastRowLastColumn="0"/>
        </w:trPr>
        <w:tc>
          <w:tcPr>
            <w:tcW w:w="1850" w:type="dxa"/>
            <w:shd w:val="clear" w:color="auto" w:fill="FFFFFF" w:themeFill="background1"/>
            <w:hideMark/>
          </w:tcPr>
          <w:p w:rsidR="00E874B4" w:rsidRDefault="00E874B4">
            <w:pPr>
              <w:rPr>
                <w:rFonts w:eastAsia="Times New Roman"/>
              </w:rPr>
            </w:pPr>
            <w:r>
              <w:rPr>
                <w:rFonts w:eastAsia="Times New Roman"/>
              </w:rPr>
              <w:t>Tasmania</w:t>
            </w:r>
          </w:p>
        </w:tc>
        <w:tc>
          <w:tcPr>
            <w:tcW w:w="1040" w:type="dxa"/>
            <w:shd w:val="clear" w:color="auto" w:fill="FFFFFF" w:themeFill="background1"/>
            <w:hideMark/>
          </w:tcPr>
          <w:p w:rsidR="00E874B4" w:rsidRDefault="00E874B4" w:rsidP="00B51865">
            <w:pPr>
              <w:jc w:val="center"/>
              <w:rPr>
                <w:rFonts w:eastAsia="Times New Roman"/>
              </w:rPr>
            </w:pPr>
            <w:r>
              <w:rPr>
                <w:rFonts w:eastAsia="Times New Roman"/>
              </w:rPr>
              <w:t>65</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2</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40</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26</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3</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2</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48</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31</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2</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5</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3</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2</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w:t>
            </w:r>
          </w:p>
        </w:tc>
      </w:tr>
      <w:tr w:rsidR="00ED0AB4" w:rsidTr="00ED0AB4">
        <w:tc>
          <w:tcPr>
            <w:tcW w:w="1850" w:type="dxa"/>
            <w:shd w:val="clear" w:color="auto" w:fill="FFFFFF" w:themeFill="background1"/>
            <w:hideMark/>
          </w:tcPr>
          <w:p w:rsidR="00E874B4" w:rsidRDefault="00E874B4">
            <w:pPr>
              <w:rPr>
                <w:rFonts w:eastAsia="Times New Roman"/>
              </w:rPr>
            </w:pPr>
            <w:r>
              <w:rPr>
                <w:rFonts w:eastAsia="Times New Roman"/>
              </w:rPr>
              <w:t>Victoria</w:t>
            </w:r>
          </w:p>
        </w:tc>
        <w:tc>
          <w:tcPr>
            <w:tcW w:w="1040" w:type="dxa"/>
            <w:shd w:val="clear" w:color="auto" w:fill="FFFFFF" w:themeFill="background1"/>
            <w:hideMark/>
          </w:tcPr>
          <w:p w:rsidR="00E874B4" w:rsidRDefault="00E874B4" w:rsidP="00B51865">
            <w:pPr>
              <w:jc w:val="center"/>
              <w:rPr>
                <w:rFonts w:eastAsia="Times New Roman"/>
              </w:rPr>
            </w:pPr>
            <w:r>
              <w:rPr>
                <w:rFonts w:eastAsia="Times New Roman"/>
              </w:rPr>
              <w:t>70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4</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3</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9</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6</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4</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3</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10</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7</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43</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30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6</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4</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14</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9</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6</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w:t>
            </w:r>
          </w:p>
        </w:tc>
      </w:tr>
      <w:tr w:rsidR="00ED0AB4" w:rsidTr="00ED0AB4">
        <w:trPr>
          <w:cnfStyle w:val="000000010000" w:firstRow="0" w:lastRow="0" w:firstColumn="0" w:lastColumn="0" w:oddVBand="0" w:evenVBand="0" w:oddHBand="0" w:evenHBand="1" w:firstRowFirstColumn="0" w:firstRowLastColumn="0" w:lastRowFirstColumn="0" w:lastRowLastColumn="0"/>
        </w:trPr>
        <w:tc>
          <w:tcPr>
            <w:tcW w:w="1850" w:type="dxa"/>
            <w:shd w:val="clear" w:color="auto" w:fill="FFFFFF" w:themeFill="background1"/>
            <w:hideMark/>
          </w:tcPr>
          <w:p w:rsidR="00E874B4" w:rsidRDefault="00E874B4">
            <w:pPr>
              <w:rPr>
                <w:rFonts w:eastAsia="Times New Roman"/>
              </w:rPr>
            </w:pPr>
            <w:r>
              <w:rPr>
                <w:rFonts w:eastAsia="Times New Roman"/>
              </w:rPr>
              <w:t>Western Australia</w:t>
            </w:r>
          </w:p>
        </w:tc>
        <w:tc>
          <w:tcPr>
            <w:tcW w:w="1040" w:type="dxa"/>
            <w:shd w:val="clear" w:color="auto" w:fill="FFFFFF" w:themeFill="background1"/>
            <w:hideMark/>
          </w:tcPr>
          <w:p w:rsidR="00E874B4" w:rsidRDefault="00E874B4" w:rsidP="00B51865">
            <w:pPr>
              <w:jc w:val="center"/>
              <w:rPr>
                <w:rFonts w:eastAsia="Times New Roman"/>
              </w:rPr>
            </w:pPr>
            <w:r>
              <w:rPr>
                <w:rFonts w:eastAsia="Times New Roman"/>
              </w:rPr>
              <w:t>229</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3</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66</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151</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12</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27</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4</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10</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14</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32</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2</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&lt;1</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1</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2</w:t>
            </w:r>
          </w:p>
        </w:tc>
        <w:tc>
          <w:tcPr>
            <w:tcW w:w="670" w:type="dxa"/>
            <w:shd w:val="clear" w:color="auto" w:fill="DBE5F1" w:themeFill="accent1" w:themeFillTint="33"/>
            <w:hideMark/>
          </w:tcPr>
          <w:p w:rsidR="00E874B4" w:rsidRDefault="00E874B4" w:rsidP="00B51865">
            <w:pPr>
              <w:jc w:val="center"/>
              <w:rPr>
                <w:rFonts w:eastAsia="Times New Roman"/>
              </w:rPr>
            </w:pPr>
            <w:r>
              <w:rPr>
                <w:rFonts w:eastAsia="Times New Roman"/>
              </w:rPr>
              <w:t>&lt;1</w:t>
            </w:r>
          </w:p>
        </w:tc>
        <w:tc>
          <w:tcPr>
            <w:tcW w:w="670" w:type="dxa"/>
            <w:shd w:val="clear" w:color="auto" w:fill="FFFFFF" w:themeFill="background1"/>
            <w:hideMark/>
          </w:tcPr>
          <w:p w:rsidR="00E874B4" w:rsidRDefault="00E874B4" w:rsidP="00B51865">
            <w:pPr>
              <w:jc w:val="center"/>
              <w:rPr>
                <w:rFonts w:eastAsia="Times New Roman"/>
              </w:rPr>
            </w:pPr>
            <w:r>
              <w:rPr>
                <w:rFonts w:eastAsia="Times New Roman"/>
              </w:rPr>
              <w:t>1</w:t>
            </w:r>
          </w:p>
        </w:tc>
      </w:tr>
      <w:tr w:rsidR="00476667" w:rsidRPr="007B0042" w:rsidTr="005B3964">
        <w:tc>
          <w:tcPr>
            <w:tcW w:w="1850" w:type="dxa"/>
            <w:shd w:val="clear" w:color="auto" w:fill="FDE9D9" w:themeFill="accent6" w:themeFillTint="33"/>
            <w:hideMark/>
          </w:tcPr>
          <w:p w:rsidR="00E874B4" w:rsidRPr="007B0042" w:rsidRDefault="00E4238E">
            <w:pPr>
              <w:rPr>
                <w:rFonts w:eastAsia="Times New Roman"/>
                <w:b/>
              </w:rPr>
            </w:pPr>
            <w:r w:rsidRPr="007B0042">
              <w:rPr>
                <w:rFonts w:eastAsia="Times New Roman"/>
                <w:b/>
              </w:rPr>
              <w:t>Total</w:t>
            </w:r>
          </w:p>
        </w:tc>
        <w:tc>
          <w:tcPr>
            <w:tcW w:w="104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1,014</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1</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14</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39</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395</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8</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85</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25</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255</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16</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166</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4</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37</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1</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12</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3</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28</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2</w:t>
            </w:r>
          </w:p>
        </w:tc>
        <w:tc>
          <w:tcPr>
            <w:tcW w:w="670" w:type="dxa"/>
            <w:shd w:val="clear" w:color="auto" w:fill="FDE9D9" w:themeFill="accent6" w:themeFillTint="33"/>
            <w:hideMark/>
          </w:tcPr>
          <w:p w:rsidR="00E874B4" w:rsidRPr="007B0042" w:rsidRDefault="00E874B4" w:rsidP="00B51865">
            <w:pPr>
              <w:jc w:val="center"/>
              <w:rPr>
                <w:rFonts w:eastAsia="Times New Roman"/>
                <w:b/>
              </w:rPr>
            </w:pPr>
            <w:r w:rsidRPr="007B0042">
              <w:rPr>
                <w:rFonts w:eastAsia="Times New Roman"/>
                <w:b/>
              </w:rPr>
              <w:t>22</w:t>
            </w:r>
          </w:p>
        </w:tc>
      </w:tr>
    </w:tbl>
    <w:p w:rsidR="00FE7AEA" w:rsidRDefault="00FE7AEA" w:rsidP="00FE7AEA">
      <w:pPr>
        <w:pStyle w:val="CDIfootnotes"/>
        <w:spacing w:after="0" w:afterAutospacing="0"/>
      </w:pPr>
      <w:proofErr w:type="spellStart"/>
      <w:proofErr w:type="gramStart"/>
      <w:r>
        <w:t>a</w:t>
      </w:r>
      <w:proofErr w:type="spellEnd"/>
      <w:proofErr w:type="gramEnd"/>
      <w:r w:rsidR="001C3BBE">
        <w:tab/>
      </w:r>
      <w:r w:rsidR="00E874B4">
        <w:t>Equine-like G3P[8]</w:t>
      </w:r>
      <w:r w:rsidR="003567D1">
        <w:br/>
      </w:r>
      <w:r w:rsidR="001C3BBE">
        <w:t>b</w:t>
      </w:r>
      <w:r w:rsidR="001C3BBE">
        <w:tab/>
      </w:r>
      <w:r w:rsidR="00E874B4">
        <w:t>See Table 3</w:t>
      </w:r>
      <w:r w:rsidR="003567D1">
        <w:br/>
      </w:r>
      <w:r w:rsidR="001C3BBE">
        <w:t>c</w:t>
      </w:r>
      <w:r w:rsidR="001C3BBE">
        <w:tab/>
      </w:r>
      <w:r w:rsidR="00E874B4">
        <w:t xml:space="preserve">A specimen where G- and/or P- genotype was not determined </w:t>
      </w:r>
    </w:p>
    <w:p w:rsidR="006033FF" w:rsidRDefault="00E874B4" w:rsidP="00FE7AEA">
      <w:pPr>
        <w:pStyle w:val="CDIfootnotes"/>
        <w:spacing w:before="0" w:beforeAutospacing="0"/>
        <w:sectPr w:rsidR="006033FF" w:rsidSect="006033FF">
          <w:pgSz w:w="16838" w:h="11906" w:orient="landscape"/>
          <w:pgMar w:top="720" w:right="720" w:bottom="720" w:left="1134" w:header="709" w:footer="284" w:gutter="0"/>
          <w:cols w:space="708"/>
          <w:titlePg/>
          <w:docGrid w:linePitch="360"/>
        </w:sectPr>
      </w:pPr>
      <w:proofErr w:type="gramStart"/>
      <w:r>
        <w:t>d</w:t>
      </w:r>
      <w:proofErr w:type="gramEnd"/>
      <w:r>
        <w:t xml:space="preserve"> </w:t>
      </w:r>
      <w:r w:rsidR="00FE7AEA">
        <w:tab/>
      </w:r>
      <w:r>
        <w:t>Specimens collected in NT were received from interstate laboratories in SA (SA Pathology; n=25) and WA (</w:t>
      </w:r>
      <w:proofErr w:type="spellStart"/>
      <w:r>
        <w:t>PathWest</w:t>
      </w:r>
      <w:proofErr w:type="spellEnd"/>
      <w:r>
        <w:t xml:space="preserve"> Laboratory Medicine/Western Diagnostics Pathology; n=75)</w:t>
      </w:r>
    </w:p>
    <w:p w:rsidR="00E874B4" w:rsidRDefault="00E874B4" w:rsidP="00571C5A">
      <w:pPr>
        <w:pStyle w:val="CDIfootnotes"/>
      </w:pPr>
    </w:p>
    <w:p w:rsidR="00E874B4" w:rsidRDefault="00E874B4" w:rsidP="004A60F4">
      <w:r>
        <w:t xml:space="preserve">A previously described equine-like </w:t>
      </w:r>
      <w:proofErr w:type="gramStart"/>
      <w:r>
        <w:t>G3P[</w:t>
      </w:r>
      <w:proofErr w:type="gramEnd"/>
      <w:r>
        <w:t>8] strain</w:t>
      </w:r>
      <w:r>
        <w:rPr>
          <w:vertAlign w:val="superscript"/>
        </w:rPr>
        <w:t>20,21</w:t>
      </w:r>
      <w:r>
        <w:t xml:space="preserve"> was the second most common genotype found in Australia, representing 25% of all strains nationally (Table 2). The majority of these equine-like </w:t>
      </w:r>
      <w:proofErr w:type="gramStart"/>
      <w:r>
        <w:t>G3P[</w:t>
      </w:r>
      <w:proofErr w:type="gramEnd"/>
      <w:r>
        <w:t xml:space="preserve">8] samples were found in NSW, representing 51% of all strains identified within the state. Equine-like </w:t>
      </w:r>
      <w:proofErr w:type="gramStart"/>
      <w:r>
        <w:t>G3P[</w:t>
      </w:r>
      <w:proofErr w:type="gramEnd"/>
      <w:r>
        <w:t xml:space="preserve">8] was the dominant genotype identified in Tasmania, representing 48% of all strains identified in that state. </w:t>
      </w:r>
      <w:proofErr w:type="gramStart"/>
      <w:r>
        <w:t>G8P[</w:t>
      </w:r>
      <w:proofErr w:type="gramEnd"/>
      <w:r>
        <w:t xml:space="preserve">8] was the third most common genotype identified nationally, representing 16% of all specimens. </w:t>
      </w:r>
      <w:proofErr w:type="gramStart"/>
      <w:r>
        <w:t>G8P[</w:t>
      </w:r>
      <w:proofErr w:type="gramEnd"/>
      <w:r>
        <w:t xml:space="preserve">8] was dominant in Victoria, representing 43% of the state total, and was the second dominant genotype in NSW (25% of all genotypes identified in NSW). Other common genotypes identified nationally in 2017 included </w:t>
      </w:r>
      <w:proofErr w:type="gramStart"/>
      <w:r>
        <w:t>G3P[</w:t>
      </w:r>
      <w:proofErr w:type="gramEnd"/>
      <w:r>
        <w:t>8] (8%), G9P[8] (4%), G1P[8] (1%) and G12P[8]</w:t>
      </w:r>
      <w:r w:rsidR="00EB2763">
        <w:t> </w:t>
      </w:r>
      <w:r>
        <w:t xml:space="preserve">(1%). </w:t>
      </w:r>
    </w:p>
    <w:p w:rsidR="00E874B4" w:rsidRDefault="00E874B4" w:rsidP="004A60F4">
      <w:r>
        <w:t xml:space="preserve">Twenty-eight (3% of rotavirus positive) specimens were identified as ‘other’, listed in Table 3. </w:t>
      </w:r>
      <w:proofErr w:type="gramStart"/>
      <w:r>
        <w:t>G4P[</w:t>
      </w:r>
      <w:proofErr w:type="gramEnd"/>
      <w:r>
        <w:t>8], an otherwise globally common strain, was detected in NSW (n=3) and Tas (n=2). Whilst one sample was of mixed genotype (G1/</w:t>
      </w:r>
      <w:proofErr w:type="gramStart"/>
      <w:r>
        <w:t>G3P[</w:t>
      </w:r>
      <w:proofErr w:type="gramEnd"/>
      <w:r>
        <w:t xml:space="preserve">8]), the remaining 22 samples represented 10 uncommon rotavirus genotypes. Seven of these strains included unusual combinations, such as </w:t>
      </w:r>
      <w:proofErr w:type="gramStart"/>
      <w:r>
        <w:t>G2P[</w:t>
      </w:r>
      <w:proofErr w:type="gramEnd"/>
      <w:r>
        <w:t xml:space="preserve">8], G3P[4], G3P[6], Equine-like G3P[6], G6P[8], G9P[4], and G9P[9]. The remaining were represented by strains that contained an animal VP7 and/or VP4 component. Feline/canine-like </w:t>
      </w:r>
      <w:proofErr w:type="gramStart"/>
      <w:r>
        <w:t>G3P[</w:t>
      </w:r>
      <w:proofErr w:type="gramEnd"/>
      <w:r>
        <w:t xml:space="preserve">3] was identified in one sample from the NT, feline/canine-like G3P[9] were identified in two samples in Vic, while bovine-like G8P[1] (n=1) was identified in NSW. </w:t>
      </w:r>
    </w:p>
    <w:p w:rsidR="00FF4C26" w:rsidRDefault="00FF4C26" w:rsidP="00C378FA">
      <w:pPr>
        <w:pStyle w:val="CDIFigures"/>
        <w:sectPr w:rsidR="00FF4C26" w:rsidSect="00A30C37">
          <w:pgSz w:w="11906" w:h="16838"/>
          <w:pgMar w:top="720" w:right="720" w:bottom="1134" w:left="720" w:header="709" w:footer="284" w:gutter="0"/>
          <w:cols w:space="708"/>
          <w:titlePg/>
          <w:docGrid w:linePitch="360"/>
        </w:sectPr>
      </w:pPr>
    </w:p>
    <w:p w:rsidR="00E874B4" w:rsidRPr="00C378FA" w:rsidRDefault="00E874B4" w:rsidP="00C378FA">
      <w:pPr>
        <w:pStyle w:val="CDIFigures"/>
      </w:pPr>
      <w:r w:rsidRPr="00C378FA">
        <w:lastRenderedPageBreak/>
        <w:t>Table 3: Mixed and unusual G- and P- genotypes identified in infants, children and adults, 1 January to 31 December 2017</w:t>
      </w:r>
    </w:p>
    <w:tbl>
      <w:tblPr>
        <w:tblStyle w:val="CDI-StandardTable"/>
        <w:tblW w:w="14940" w:type="dxa"/>
        <w:tblCellMar>
          <w:top w:w="57" w:type="dxa"/>
          <w:left w:w="57" w:type="dxa"/>
          <w:bottom w:w="57" w:type="dxa"/>
          <w:right w:w="57" w:type="dxa"/>
        </w:tblCellMar>
        <w:tblLook w:val="04A0" w:firstRow="1" w:lastRow="0" w:firstColumn="1" w:lastColumn="0" w:noHBand="0" w:noVBand="1"/>
        <w:tblDescription w:val="Table 3 describes unusual rotavirus genotype combinations identified in 2017. Uncommon combinations, such as G1P[6], G2P[8], G6P[8], G3P[4], and G9P[4] were identified. Zoonotic transmission strains, such as the feline/canine G3P[3] or P[9] were also detected across multiple States and Territories."/>
      </w:tblPr>
      <w:tblGrid>
        <w:gridCol w:w="3534"/>
        <w:gridCol w:w="1459"/>
        <w:gridCol w:w="1459"/>
        <w:gridCol w:w="1460"/>
        <w:gridCol w:w="1459"/>
        <w:gridCol w:w="1460"/>
        <w:gridCol w:w="1459"/>
        <w:gridCol w:w="1460"/>
        <w:gridCol w:w="1190"/>
      </w:tblGrid>
      <w:tr w:rsidR="00AB5CDD" w:rsidRPr="00AB5CDD" w:rsidTr="002D453C">
        <w:trPr>
          <w:cnfStyle w:val="100000000000" w:firstRow="1" w:lastRow="0" w:firstColumn="0" w:lastColumn="0" w:oddVBand="0" w:evenVBand="0" w:oddHBand="0" w:evenHBand="0" w:firstRowFirstColumn="0" w:firstRowLastColumn="0" w:lastRowFirstColumn="0" w:lastRowLastColumn="0"/>
          <w:tblHeader/>
        </w:trPr>
        <w:tc>
          <w:tcPr>
            <w:tcW w:w="3534" w:type="dxa"/>
            <w:tcBorders>
              <w:right w:val="single" w:sz="4" w:space="0" w:color="FFFFFF" w:themeColor="background1"/>
            </w:tcBorders>
            <w:hideMark/>
          </w:tcPr>
          <w:p w:rsidR="00E874B4" w:rsidRPr="00AB5CDD" w:rsidRDefault="00E874B4">
            <w:pPr>
              <w:rPr>
                <w:rFonts w:eastAsia="Times New Roman"/>
                <w:color w:val="FFFFFF" w:themeColor="background1"/>
              </w:rPr>
            </w:pPr>
            <w:r w:rsidRPr="00AB5CDD">
              <w:rPr>
                <w:rFonts w:eastAsia="Times New Roman"/>
                <w:color w:val="FFFFFF" w:themeColor="background1"/>
              </w:rPr>
              <w:t>Genotype</w:t>
            </w:r>
          </w:p>
        </w:tc>
        <w:tc>
          <w:tcPr>
            <w:tcW w:w="5837" w:type="dxa"/>
            <w:gridSpan w:val="4"/>
            <w:tcBorders>
              <w:left w:val="single" w:sz="4" w:space="0" w:color="FFFFFF" w:themeColor="background1"/>
              <w:bottom w:val="single" w:sz="4" w:space="0" w:color="FFFFFF" w:themeColor="background1"/>
              <w:right w:val="single" w:sz="4" w:space="0" w:color="FFFFFF" w:themeColor="background1"/>
            </w:tcBorders>
            <w:hideMark/>
          </w:tcPr>
          <w:p w:rsidR="00E874B4" w:rsidRPr="00AB5CDD" w:rsidRDefault="00E874B4" w:rsidP="00F6163E">
            <w:pPr>
              <w:jc w:val="center"/>
              <w:rPr>
                <w:rFonts w:eastAsia="Times New Roman"/>
                <w:color w:val="FFFFFF" w:themeColor="background1"/>
              </w:rPr>
            </w:pPr>
            <w:proofErr w:type="spellStart"/>
            <w:r w:rsidRPr="00AB5CDD">
              <w:rPr>
                <w:rFonts w:eastAsia="Times New Roman"/>
                <w:color w:val="FFFFFF" w:themeColor="background1"/>
              </w:rPr>
              <w:t>RotaTeq</w:t>
            </w:r>
            <w:proofErr w:type="spellEnd"/>
          </w:p>
        </w:tc>
        <w:tc>
          <w:tcPr>
            <w:tcW w:w="4379" w:type="dxa"/>
            <w:gridSpan w:val="3"/>
            <w:tcBorders>
              <w:left w:val="single" w:sz="4" w:space="0" w:color="FFFFFF" w:themeColor="background1"/>
              <w:bottom w:val="single" w:sz="4" w:space="0" w:color="FFFFFF" w:themeColor="background1"/>
              <w:right w:val="single" w:sz="4" w:space="0" w:color="FFFFFF" w:themeColor="background1"/>
            </w:tcBorders>
            <w:hideMark/>
          </w:tcPr>
          <w:p w:rsidR="00E874B4" w:rsidRPr="00AB5CDD" w:rsidRDefault="00E874B4" w:rsidP="00F6163E">
            <w:pPr>
              <w:jc w:val="center"/>
              <w:rPr>
                <w:rFonts w:eastAsia="Times New Roman"/>
                <w:color w:val="FFFFFF" w:themeColor="background1"/>
              </w:rPr>
            </w:pPr>
            <w:proofErr w:type="spellStart"/>
            <w:r w:rsidRPr="00AB5CDD">
              <w:rPr>
                <w:rFonts w:eastAsia="Times New Roman"/>
                <w:color w:val="FFFFFF" w:themeColor="background1"/>
              </w:rPr>
              <w:t>Rotarix</w:t>
            </w:r>
            <w:r w:rsidRPr="00FE4484">
              <w:rPr>
                <w:rFonts w:eastAsia="Times New Roman"/>
                <w:color w:val="FFFFFF" w:themeColor="background1"/>
                <w:vertAlign w:val="superscript"/>
              </w:rPr>
              <w:t>a</w:t>
            </w:r>
            <w:proofErr w:type="spellEnd"/>
          </w:p>
        </w:tc>
        <w:tc>
          <w:tcPr>
            <w:tcW w:w="1190" w:type="dxa"/>
            <w:tcBorders>
              <w:left w:val="single" w:sz="4" w:space="0" w:color="FFFFFF" w:themeColor="background1"/>
            </w:tcBorders>
            <w:hideMark/>
          </w:tcPr>
          <w:p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Total</w:t>
            </w:r>
          </w:p>
        </w:tc>
      </w:tr>
      <w:tr w:rsidR="002026DE" w:rsidRPr="00AB5CDD" w:rsidTr="00AD09AE">
        <w:trPr>
          <w:cnfStyle w:val="100000000000" w:firstRow="1" w:lastRow="0" w:firstColumn="0" w:lastColumn="0" w:oddVBand="0" w:evenVBand="0" w:oddHBand="0" w:evenHBand="0" w:firstRowFirstColumn="0" w:firstRowLastColumn="0" w:lastRowFirstColumn="0" w:lastRowLastColumn="0"/>
          <w:tblHeader/>
        </w:trPr>
        <w:tc>
          <w:tcPr>
            <w:tcW w:w="3534" w:type="dxa"/>
            <w:tcBorders>
              <w:right w:val="single" w:sz="4" w:space="0" w:color="FFFFFF" w:themeColor="background1"/>
            </w:tcBorders>
            <w:hideMark/>
          </w:tcPr>
          <w:p w:rsidR="00E874B4" w:rsidRPr="00AB5CDD" w:rsidRDefault="00E874B4">
            <w:pPr>
              <w:rPr>
                <w:rFonts w:eastAsia="Times New Roman"/>
                <w:color w:val="FFFFFF" w:themeColor="background1"/>
              </w:rPr>
            </w:pPr>
          </w:p>
        </w:tc>
        <w:tc>
          <w:tcPr>
            <w:tcW w:w="1459" w:type="dxa"/>
            <w:tcBorders>
              <w:top w:val="single" w:sz="4" w:space="0" w:color="FFFFFF" w:themeColor="background1"/>
              <w:left w:val="single" w:sz="4" w:space="0" w:color="FFFFFF" w:themeColor="background1"/>
            </w:tcBorders>
            <w:hideMark/>
          </w:tcPr>
          <w:p w:rsidR="00E874B4" w:rsidRPr="00AB5CDD" w:rsidRDefault="00E874B4" w:rsidP="00F6163E">
            <w:pPr>
              <w:jc w:val="center"/>
              <w:rPr>
                <w:rFonts w:eastAsia="Times New Roman"/>
                <w:color w:val="FFFFFF" w:themeColor="background1"/>
                <w:sz w:val="24"/>
                <w:szCs w:val="24"/>
              </w:rPr>
            </w:pPr>
            <w:r w:rsidRPr="00AB5CDD">
              <w:rPr>
                <w:rFonts w:eastAsia="Times New Roman"/>
                <w:color w:val="FFFFFF" w:themeColor="background1"/>
              </w:rPr>
              <w:t>Qld</w:t>
            </w:r>
          </w:p>
        </w:tc>
        <w:tc>
          <w:tcPr>
            <w:tcW w:w="1459" w:type="dxa"/>
            <w:tcBorders>
              <w:top w:val="single" w:sz="4" w:space="0" w:color="FFFFFF" w:themeColor="background1"/>
            </w:tcBorders>
            <w:hideMark/>
          </w:tcPr>
          <w:p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SA</w:t>
            </w:r>
          </w:p>
        </w:tc>
        <w:tc>
          <w:tcPr>
            <w:tcW w:w="1460" w:type="dxa"/>
            <w:tcBorders>
              <w:top w:val="single" w:sz="4" w:space="0" w:color="FFFFFF" w:themeColor="background1"/>
            </w:tcBorders>
            <w:hideMark/>
          </w:tcPr>
          <w:p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Vic</w:t>
            </w:r>
          </w:p>
        </w:tc>
        <w:tc>
          <w:tcPr>
            <w:tcW w:w="1459" w:type="dxa"/>
            <w:tcBorders>
              <w:top w:val="single" w:sz="4" w:space="0" w:color="FFFFFF" w:themeColor="background1"/>
              <w:right w:val="single" w:sz="4" w:space="0" w:color="FFFFFF" w:themeColor="background1"/>
            </w:tcBorders>
            <w:hideMark/>
          </w:tcPr>
          <w:p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WA</w:t>
            </w:r>
          </w:p>
        </w:tc>
        <w:tc>
          <w:tcPr>
            <w:tcW w:w="1460" w:type="dxa"/>
            <w:tcBorders>
              <w:top w:val="single" w:sz="4" w:space="0" w:color="FFFFFF" w:themeColor="background1"/>
              <w:left w:val="single" w:sz="4" w:space="0" w:color="FFFFFF" w:themeColor="background1"/>
            </w:tcBorders>
            <w:hideMark/>
          </w:tcPr>
          <w:p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NSW</w:t>
            </w:r>
          </w:p>
        </w:tc>
        <w:tc>
          <w:tcPr>
            <w:tcW w:w="1459" w:type="dxa"/>
            <w:tcBorders>
              <w:top w:val="single" w:sz="4" w:space="0" w:color="FFFFFF" w:themeColor="background1"/>
            </w:tcBorders>
            <w:hideMark/>
          </w:tcPr>
          <w:p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NT</w:t>
            </w:r>
          </w:p>
        </w:tc>
        <w:tc>
          <w:tcPr>
            <w:tcW w:w="1460" w:type="dxa"/>
            <w:tcBorders>
              <w:top w:val="single" w:sz="4" w:space="0" w:color="FFFFFF" w:themeColor="background1"/>
              <w:right w:val="single" w:sz="4" w:space="0" w:color="FFFFFF" w:themeColor="background1"/>
            </w:tcBorders>
            <w:hideMark/>
          </w:tcPr>
          <w:p w:rsidR="00E874B4" w:rsidRPr="00AB5CDD" w:rsidRDefault="00E874B4" w:rsidP="00F6163E">
            <w:pPr>
              <w:jc w:val="center"/>
              <w:rPr>
                <w:rFonts w:eastAsia="Times New Roman"/>
                <w:color w:val="FFFFFF" w:themeColor="background1"/>
              </w:rPr>
            </w:pPr>
            <w:r w:rsidRPr="00AB5CDD">
              <w:rPr>
                <w:rFonts w:eastAsia="Times New Roman"/>
                <w:color w:val="FFFFFF" w:themeColor="background1"/>
              </w:rPr>
              <w:t>Tas</w:t>
            </w:r>
          </w:p>
        </w:tc>
        <w:tc>
          <w:tcPr>
            <w:tcW w:w="1190" w:type="dxa"/>
            <w:tcBorders>
              <w:left w:val="single" w:sz="4" w:space="0" w:color="FFFFFF" w:themeColor="background1"/>
            </w:tcBorders>
            <w:hideMark/>
          </w:tcPr>
          <w:p w:rsidR="00E874B4" w:rsidRPr="00AB5CDD" w:rsidRDefault="00E874B4" w:rsidP="00F6163E">
            <w:pPr>
              <w:jc w:val="center"/>
              <w:rPr>
                <w:rFonts w:eastAsia="Times New Roman"/>
                <w:color w:val="FFFFFF" w:themeColor="background1"/>
                <w:sz w:val="24"/>
                <w:szCs w:val="24"/>
              </w:rPr>
            </w:pPr>
          </w:p>
        </w:tc>
      </w:tr>
      <w:tr w:rsidR="00AB5CDD" w:rsidTr="002D453C">
        <w:tc>
          <w:tcPr>
            <w:tcW w:w="3534" w:type="dxa"/>
            <w:hideMark/>
          </w:tcPr>
          <w:p w:rsidR="00E874B4" w:rsidRDefault="00E874B4">
            <w:pPr>
              <w:rPr>
                <w:rFonts w:eastAsia="Times New Roman"/>
              </w:rPr>
            </w:pPr>
            <w:r>
              <w:rPr>
                <w:rFonts w:eastAsia="Times New Roman"/>
              </w:rPr>
              <w:t>EqG3P[6]</w:t>
            </w:r>
          </w:p>
        </w:tc>
        <w:tc>
          <w:tcPr>
            <w:tcW w:w="1459"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1</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190" w:type="dxa"/>
            <w:hideMark/>
          </w:tcPr>
          <w:p w:rsidR="00E874B4" w:rsidRDefault="00E874B4" w:rsidP="00F6163E">
            <w:pPr>
              <w:jc w:val="center"/>
              <w:rPr>
                <w:rFonts w:eastAsia="Times New Roman"/>
              </w:rPr>
            </w:pPr>
            <w:r>
              <w:rPr>
                <w:rFonts w:eastAsia="Times New Roman"/>
              </w:rPr>
              <w:t>1</w:t>
            </w:r>
          </w:p>
        </w:tc>
      </w:tr>
      <w:tr w:rsidR="003575D7" w:rsidTr="002D453C">
        <w:trPr>
          <w:cnfStyle w:val="000000010000" w:firstRow="0" w:lastRow="0" w:firstColumn="0" w:lastColumn="0" w:oddVBand="0" w:evenVBand="0" w:oddHBand="0" w:evenHBand="1" w:firstRowFirstColumn="0" w:firstRowLastColumn="0" w:lastRowFirstColumn="0" w:lastRowLastColumn="0"/>
        </w:trPr>
        <w:tc>
          <w:tcPr>
            <w:tcW w:w="3534" w:type="dxa"/>
            <w:hideMark/>
          </w:tcPr>
          <w:p w:rsidR="00E874B4" w:rsidRDefault="00E874B4">
            <w:pPr>
              <w:rPr>
                <w:rFonts w:eastAsia="Times New Roman"/>
              </w:rPr>
            </w:pPr>
            <w:r>
              <w:rPr>
                <w:rFonts w:eastAsia="Times New Roman"/>
              </w:rPr>
              <w:t>G2P[8]</w:t>
            </w:r>
          </w:p>
        </w:tc>
        <w:tc>
          <w:tcPr>
            <w:tcW w:w="1459"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1</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1</w:t>
            </w:r>
          </w:p>
        </w:tc>
        <w:tc>
          <w:tcPr>
            <w:tcW w:w="1460" w:type="dxa"/>
            <w:hideMark/>
          </w:tcPr>
          <w:p w:rsidR="00E874B4" w:rsidRDefault="00E874B4" w:rsidP="00F6163E">
            <w:pPr>
              <w:jc w:val="center"/>
              <w:rPr>
                <w:rFonts w:eastAsia="Times New Roman"/>
              </w:rPr>
            </w:pPr>
            <w:r>
              <w:rPr>
                <w:rFonts w:eastAsia="Times New Roman"/>
              </w:rPr>
              <w:t>1</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190" w:type="dxa"/>
            <w:hideMark/>
          </w:tcPr>
          <w:p w:rsidR="00E874B4" w:rsidRDefault="00E874B4" w:rsidP="00F6163E">
            <w:pPr>
              <w:jc w:val="center"/>
              <w:rPr>
                <w:rFonts w:eastAsia="Times New Roman"/>
              </w:rPr>
            </w:pPr>
            <w:r>
              <w:rPr>
                <w:rFonts w:eastAsia="Times New Roman"/>
              </w:rPr>
              <w:t>3</w:t>
            </w:r>
          </w:p>
        </w:tc>
      </w:tr>
      <w:tr w:rsidR="00AB5CDD" w:rsidTr="002D453C">
        <w:tc>
          <w:tcPr>
            <w:tcW w:w="3534" w:type="dxa"/>
            <w:hideMark/>
          </w:tcPr>
          <w:p w:rsidR="00E874B4" w:rsidRDefault="00E874B4">
            <w:pPr>
              <w:rPr>
                <w:rFonts w:eastAsia="Times New Roman"/>
              </w:rPr>
            </w:pPr>
            <w:r>
              <w:rPr>
                <w:rFonts w:eastAsia="Times New Roman"/>
              </w:rPr>
              <w:t>G3P[3] feline/canine</w:t>
            </w:r>
          </w:p>
        </w:tc>
        <w:tc>
          <w:tcPr>
            <w:tcW w:w="1459"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1</w:t>
            </w:r>
          </w:p>
        </w:tc>
        <w:tc>
          <w:tcPr>
            <w:tcW w:w="1460" w:type="dxa"/>
            <w:hideMark/>
          </w:tcPr>
          <w:p w:rsidR="00E874B4" w:rsidRDefault="00E874B4" w:rsidP="00F6163E">
            <w:pPr>
              <w:jc w:val="center"/>
              <w:rPr>
                <w:rFonts w:eastAsia="Times New Roman"/>
              </w:rPr>
            </w:pPr>
            <w:r>
              <w:rPr>
                <w:rFonts w:eastAsia="Times New Roman"/>
              </w:rPr>
              <w:t>-</w:t>
            </w:r>
          </w:p>
        </w:tc>
        <w:tc>
          <w:tcPr>
            <w:tcW w:w="1190" w:type="dxa"/>
            <w:hideMark/>
          </w:tcPr>
          <w:p w:rsidR="00E874B4" w:rsidRDefault="00E874B4" w:rsidP="00F6163E">
            <w:pPr>
              <w:jc w:val="center"/>
              <w:rPr>
                <w:rFonts w:eastAsia="Times New Roman"/>
              </w:rPr>
            </w:pPr>
            <w:r>
              <w:rPr>
                <w:rFonts w:eastAsia="Times New Roman"/>
              </w:rPr>
              <w:t>1</w:t>
            </w:r>
          </w:p>
        </w:tc>
      </w:tr>
      <w:tr w:rsidR="003575D7" w:rsidTr="002D453C">
        <w:trPr>
          <w:cnfStyle w:val="000000010000" w:firstRow="0" w:lastRow="0" w:firstColumn="0" w:lastColumn="0" w:oddVBand="0" w:evenVBand="0" w:oddHBand="0" w:evenHBand="1" w:firstRowFirstColumn="0" w:firstRowLastColumn="0" w:lastRowFirstColumn="0" w:lastRowLastColumn="0"/>
        </w:trPr>
        <w:tc>
          <w:tcPr>
            <w:tcW w:w="3534" w:type="dxa"/>
            <w:hideMark/>
          </w:tcPr>
          <w:p w:rsidR="00E874B4" w:rsidRDefault="00E874B4">
            <w:pPr>
              <w:rPr>
                <w:rFonts w:eastAsia="Times New Roman"/>
              </w:rPr>
            </w:pPr>
            <w:r>
              <w:rPr>
                <w:rFonts w:eastAsia="Times New Roman"/>
              </w:rPr>
              <w:t>G3P[4]</w:t>
            </w:r>
          </w:p>
        </w:tc>
        <w:tc>
          <w:tcPr>
            <w:tcW w:w="1459"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1</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190" w:type="dxa"/>
            <w:hideMark/>
          </w:tcPr>
          <w:p w:rsidR="00E874B4" w:rsidRDefault="00E874B4" w:rsidP="00F6163E">
            <w:pPr>
              <w:jc w:val="center"/>
              <w:rPr>
                <w:rFonts w:eastAsia="Times New Roman"/>
              </w:rPr>
            </w:pPr>
            <w:r>
              <w:rPr>
                <w:rFonts w:eastAsia="Times New Roman"/>
              </w:rPr>
              <w:t>1</w:t>
            </w:r>
          </w:p>
        </w:tc>
      </w:tr>
      <w:tr w:rsidR="00AB5CDD" w:rsidTr="002D453C">
        <w:tc>
          <w:tcPr>
            <w:tcW w:w="3534" w:type="dxa"/>
            <w:hideMark/>
          </w:tcPr>
          <w:p w:rsidR="00E874B4" w:rsidRDefault="00E874B4">
            <w:pPr>
              <w:rPr>
                <w:rFonts w:eastAsia="Times New Roman"/>
              </w:rPr>
            </w:pPr>
            <w:r>
              <w:rPr>
                <w:rFonts w:eastAsia="Times New Roman"/>
              </w:rPr>
              <w:t>G3P[6]</w:t>
            </w:r>
          </w:p>
        </w:tc>
        <w:tc>
          <w:tcPr>
            <w:tcW w:w="1459"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1</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190" w:type="dxa"/>
            <w:hideMark/>
          </w:tcPr>
          <w:p w:rsidR="00E874B4" w:rsidRDefault="00E874B4" w:rsidP="00F6163E">
            <w:pPr>
              <w:jc w:val="center"/>
              <w:rPr>
                <w:rFonts w:eastAsia="Times New Roman"/>
              </w:rPr>
            </w:pPr>
            <w:r>
              <w:rPr>
                <w:rFonts w:eastAsia="Times New Roman"/>
              </w:rPr>
              <w:t>1</w:t>
            </w:r>
          </w:p>
        </w:tc>
      </w:tr>
      <w:tr w:rsidR="003575D7" w:rsidTr="002D453C">
        <w:trPr>
          <w:cnfStyle w:val="000000010000" w:firstRow="0" w:lastRow="0" w:firstColumn="0" w:lastColumn="0" w:oddVBand="0" w:evenVBand="0" w:oddHBand="0" w:evenHBand="1" w:firstRowFirstColumn="0" w:firstRowLastColumn="0" w:lastRowFirstColumn="0" w:lastRowLastColumn="0"/>
        </w:trPr>
        <w:tc>
          <w:tcPr>
            <w:tcW w:w="3534" w:type="dxa"/>
            <w:hideMark/>
          </w:tcPr>
          <w:p w:rsidR="00E874B4" w:rsidRDefault="00E874B4">
            <w:pPr>
              <w:rPr>
                <w:rFonts w:eastAsia="Times New Roman"/>
              </w:rPr>
            </w:pPr>
            <w:r>
              <w:rPr>
                <w:rFonts w:eastAsia="Times New Roman"/>
              </w:rPr>
              <w:t>G3P[9] feline/canine</w:t>
            </w:r>
          </w:p>
        </w:tc>
        <w:tc>
          <w:tcPr>
            <w:tcW w:w="1459"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2</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190" w:type="dxa"/>
            <w:hideMark/>
          </w:tcPr>
          <w:p w:rsidR="00E874B4" w:rsidRDefault="00E874B4" w:rsidP="00F6163E">
            <w:pPr>
              <w:jc w:val="center"/>
              <w:rPr>
                <w:rFonts w:eastAsia="Times New Roman"/>
              </w:rPr>
            </w:pPr>
            <w:r>
              <w:rPr>
                <w:rFonts w:eastAsia="Times New Roman"/>
              </w:rPr>
              <w:t>2</w:t>
            </w:r>
          </w:p>
        </w:tc>
      </w:tr>
      <w:tr w:rsidR="00AB5CDD" w:rsidTr="002D453C">
        <w:tc>
          <w:tcPr>
            <w:tcW w:w="3534" w:type="dxa"/>
            <w:hideMark/>
          </w:tcPr>
          <w:p w:rsidR="00E874B4" w:rsidRDefault="00E874B4">
            <w:pPr>
              <w:rPr>
                <w:rFonts w:eastAsia="Times New Roman"/>
              </w:rPr>
            </w:pPr>
            <w:r>
              <w:rPr>
                <w:rFonts w:eastAsia="Times New Roman"/>
              </w:rPr>
              <w:t>G4P[8]</w:t>
            </w:r>
          </w:p>
        </w:tc>
        <w:tc>
          <w:tcPr>
            <w:tcW w:w="1459"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3</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2</w:t>
            </w:r>
          </w:p>
        </w:tc>
        <w:tc>
          <w:tcPr>
            <w:tcW w:w="1190" w:type="dxa"/>
            <w:hideMark/>
          </w:tcPr>
          <w:p w:rsidR="00E874B4" w:rsidRDefault="00E874B4" w:rsidP="00F6163E">
            <w:pPr>
              <w:jc w:val="center"/>
              <w:rPr>
                <w:rFonts w:eastAsia="Times New Roman"/>
              </w:rPr>
            </w:pPr>
            <w:r>
              <w:rPr>
                <w:rFonts w:eastAsia="Times New Roman"/>
              </w:rPr>
              <w:t>5</w:t>
            </w:r>
          </w:p>
        </w:tc>
      </w:tr>
      <w:tr w:rsidR="003575D7" w:rsidTr="002D453C">
        <w:trPr>
          <w:cnfStyle w:val="000000010000" w:firstRow="0" w:lastRow="0" w:firstColumn="0" w:lastColumn="0" w:oddVBand="0" w:evenVBand="0" w:oddHBand="0" w:evenHBand="1" w:firstRowFirstColumn="0" w:firstRowLastColumn="0" w:lastRowFirstColumn="0" w:lastRowLastColumn="0"/>
        </w:trPr>
        <w:tc>
          <w:tcPr>
            <w:tcW w:w="3534" w:type="dxa"/>
            <w:hideMark/>
          </w:tcPr>
          <w:p w:rsidR="00E874B4" w:rsidRDefault="00E874B4">
            <w:pPr>
              <w:rPr>
                <w:rFonts w:eastAsia="Times New Roman"/>
              </w:rPr>
            </w:pPr>
            <w:r>
              <w:rPr>
                <w:rFonts w:eastAsia="Times New Roman"/>
              </w:rPr>
              <w:t>G6P[8]</w:t>
            </w:r>
          </w:p>
        </w:tc>
        <w:tc>
          <w:tcPr>
            <w:tcW w:w="1459"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1</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190" w:type="dxa"/>
            <w:hideMark/>
          </w:tcPr>
          <w:p w:rsidR="00E874B4" w:rsidRDefault="00E874B4" w:rsidP="00F6163E">
            <w:pPr>
              <w:jc w:val="center"/>
              <w:rPr>
                <w:rFonts w:eastAsia="Times New Roman"/>
              </w:rPr>
            </w:pPr>
            <w:r>
              <w:rPr>
                <w:rFonts w:eastAsia="Times New Roman"/>
              </w:rPr>
              <w:t>1</w:t>
            </w:r>
          </w:p>
        </w:tc>
      </w:tr>
      <w:tr w:rsidR="00AB5CDD" w:rsidTr="002D453C">
        <w:tc>
          <w:tcPr>
            <w:tcW w:w="3534" w:type="dxa"/>
            <w:hideMark/>
          </w:tcPr>
          <w:p w:rsidR="00E874B4" w:rsidRDefault="00E874B4">
            <w:pPr>
              <w:rPr>
                <w:rFonts w:eastAsia="Times New Roman"/>
              </w:rPr>
            </w:pPr>
            <w:r>
              <w:rPr>
                <w:rFonts w:eastAsia="Times New Roman"/>
              </w:rPr>
              <w:t>G8P[1]</w:t>
            </w:r>
          </w:p>
        </w:tc>
        <w:tc>
          <w:tcPr>
            <w:tcW w:w="1459"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1</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190" w:type="dxa"/>
            <w:hideMark/>
          </w:tcPr>
          <w:p w:rsidR="00E874B4" w:rsidRDefault="00E874B4" w:rsidP="00F6163E">
            <w:pPr>
              <w:jc w:val="center"/>
              <w:rPr>
                <w:rFonts w:eastAsia="Times New Roman"/>
              </w:rPr>
            </w:pPr>
            <w:r>
              <w:rPr>
                <w:rFonts w:eastAsia="Times New Roman"/>
              </w:rPr>
              <w:t>1</w:t>
            </w:r>
          </w:p>
        </w:tc>
      </w:tr>
      <w:tr w:rsidR="003575D7" w:rsidTr="002D453C">
        <w:trPr>
          <w:cnfStyle w:val="000000010000" w:firstRow="0" w:lastRow="0" w:firstColumn="0" w:lastColumn="0" w:oddVBand="0" w:evenVBand="0" w:oddHBand="0" w:evenHBand="1" w:firstRowFirstColumn="0" w:firstRowLastColumn="0" w:lastRowFirstColumn="0" w:lastRowLastColumn="0"/>
        </w:trPr>
        <w:tc>
          <w:tcPr>
            <w:tcW w:w="3534" w:type="dxa"/>
            <w:hideMark/>
          </w:tcPr>
          <w:p w:rsidR="00E874B4" w:rsidRDefault="00E874B4">
            <w:pPr>
              <w:rPr>
                <w:rFonts w:eastAsia="Times New Roman"/>
              </w:rPr>
            </w:pPr>
            <w:r>
              <w:rPr>
                <w:rFonts w:eastAsia="Times New Roman"/>
              </w:rPr>
              <w:t>G9P[4]</w:t>
            </w:r>
          </w:p>
        </w:tc>
        <w:tc>
          <w:tcPr>
            <w:tcW w:w="1459" w:type="dxa"/>
            <w:hideMark/>
          </w:tcPr>
          <w:p w:rsidR="00E874B4" w:rsidRDefault="00E874B4" w:rsidP="00F6163E">
            <w:pPr>
              <w:jc w:val="center"/>
              <w:rPr>
                <w:rFonts w:eastAsia="Times New Roman"/>
              </w:rPr>
            </w:pPr>
            <w:r>
              <w:rPr>
                <w:rFonts w:eastAsia="Times New Roman"/>
              </w:rPr>
              <w:t>1</w:t>
            </w:r>
          </w:p>
        </w:tc>
        <w:tc>
          <w:tcPr>
            <w:tcW w:w="1459" w:type="dxa"/>
            <w:hideMark/>
          </w:tcPr>
          <w:p w:rsidR="00E874B4" w:rsidRDefault="00E874B4" w:rsidP="00F6163E">
            <w:pPr>
              <w:jc w:val="center"/>
              <w:rPr>
                <w:rFonts w:eastAsia="Times New Roman"/>
              </w:rPr>
            </w:pPr>
            <w:r>
              <w:rPr>
                <w:rFonts w:eastAsia="Times New Roman"/>
              </w:rPr>
              <w:t>3</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1</w:t>
            </w:r>
          </w:p>
        </w:tc>
        <w:tc>
          <w:tcPr>
            <w:tcW w:w="1460" w:type="dxa"/>
            <w:hideMark/>
          </w:tcPr>
          <w:p w:rsidR="00E874B4" w:rsidRDefault="00E874B4" w:rsidP="00F6163E">
            <w:pPr>
              <w:jc w:val="center"/>
              <w:rPr>
                <w:rFonts w:eastAsia="Times New Roman"/>
              </w:rPr>
            </w:pPr>
            <w:r>
              <w:rPr>
                <w:rFonts w:eastAsia="Times New Roman"/>
              </w:rPr>
              <w:t>4</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1</w:t>
            </w:r>
          </w:p>
        </w:tc>
        <w:tc>
          <w:tcPr>
            <w:tcW w:w="1190" w:type="dxa"/>
            <w:hideMark/>
          </w:tcPr>
          <w:p w:rsidR="00E874B4" w:rsidRDefault="00E874B4" w:rsidP="00F6163E">
            <w:pPr>
              <w:jc w:val="center"/>
              <w:rPr>
                <w:rFonts w:eastAsia="Times New Roman"/>
              </w:rPr>
            </w:pPr>
            <w:r>
              <w:rPr>
                <w:rFonts w:eastAsia="Times New Roman"/>
              </w:rPr>
              <w:t>10</w:t>
            </w:r>
          </w:p>
        </w:tc>
      </w:tr>
      <w:tr w:rsidR="00AB5CDD" w:rsidTr="002D453C">
        <w:tc>
          <w:tcPr>
            <w:tcW w:w="3534" w:type="dxa"/>
            <w:hideMark/>
          </w:tcPr>
          <w:p w:rsidR="00E874B4" w:rsidRDefault="00E874B4">
            <w:pPr>
              <w:rPr>
                <w:rFonts w:eastAsia="Times New Roman"/>
              </w:rPr>
            </w:pPr>
            <w:r>
              <w:rPr>
                <w:rFonts w:eastAsia="Times New Roman"/>
              </w:rPr>
              <w:t>G9P[9]</w:t>
            </w:r>
          </w:p>
        </w:tc>
        <w:tc>
          <w:tcPr>
            <w:tcW w:w="1459" w:type="dxa"/>
            <w:hideMark/>
          </w:tcPr>
          <w:p w:rsidR="00E874B4" w:rsidRDefault="00E874B4" w:rsidP="00F6163E">
            <w:pPr>
              <w:jc w:val="center"/>
              <w:rPr>
                <w:rFonts w:eastAsia="Times New Roman"/>
              </w:rPr>
            </w:pPr>
            <w:r>
              <w:rPr>
                <w:rFonts w:eastAsia="Times New Roman"/>
              </w:rPr>
              <w:t>1</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190" w:type="dxa"/>
            <w:hideMark/>
          </w:tcPr>
          <w:p w:rsidR="00E874B4" w:rsidRDefault="00E874B4" w:rsidP="00F6163E">
            <w:pPr>
              <w:jc w:val="center"/>
              <w:rPr>
                <w:rFonts w:eastAsia="Times New Roman"/>
              </w:rPr>
            </w:pPr>
            <w:r>
              <w:rPr>
                <w:rFonts w:eastAsia="Times New Roman"/>
              </w:rPr>
              <w:t>1</w:t>
            </w:r>
          </w:p>
        </w:tc>
      </w:tr>
      <w:tr w:rsidR="003575D7" w:rsidTr="002D453C">
        <w:trPr>
          <w:cnfStyle w:val="000000010000" w:firstRow="0" w:lastRow="0" w:firstColumn="0" w:lastColumn="0" w:oddVBand="0" w:evenVBand="0" w:oddHBand="0" w:evenHBand="1" w:firstRowFirstColumn="0" w:firstRowLastColumn="0" w:lastRowFirstColumn="0" w:lastRowLastColumn="0"/>
        </w:trPr>
        <w:tc>
          <w:tcPr>
            <w:tcW w:w="3534" w:type="dxa"/>
            <w:hideMark/>
          </w:tcPr>
          <w:p w:rsidR="00E874B4" w:rsidRDefault="00E874B4">
            <w:pPr>
              <w:rPr>
                <w:rFonts w:eastAsia="Times New Roman"/>
              </w:rPr>
            </w:pPr>
            <w:r>
              <w:rPr>
                <w:rFonts w:eastAsia="Times New Roman"/>
              </w:rPr>
              <w:t>MIXED G1/G3P[8]</w:t>
            </w:r>
          </w:p>
        </w:tc>
        <w:tc>
          <w:tcPr>
            <w:tcW w:w="1459" w:type="dxa"/>
            <w:hideMark/>
          </w:tcPr>
          <w:p w:rsidR="00E874B4" w:rsidRDefault="00E874B4" w:rsidP="00F6163E">
            <w:pPr>
              <w:jc w:val="center"/>
              <w:rPr>
                <w:rFonts w:eastAsia="Times New Roman"/>
              </w:rPr>
            </w:pPr>
            <w:r>
              <w:rPr>
                <w:rFonts w:eastAsia="Times New Roman"/>
              </w:rPr>
              <w:t>1</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459" w:type="dxa"/>
            <w:hideMark/>
          </w:tcPr>
          <w:p w:rsidR="00E874B4" w:rsidRDefault="00E874B4" w:rsidP="00F6163E">
            <w:pPr>
              <w:jc w:val="center"/>
              <w:rPr>
                <w:rFonts w:eastAsia="Times New Roman"/>
              </w:rPr>
            </w:pPr>
            <w:r>
              <w:rPr>
                <w:rFonts w:eastAsia="Times New Roman"/>
              </w:rPr>
              <w:t>-</w:t>
            </w:r>
          </w:p>
        </w:tc>
        <w:tc>
          <w:tcPr>
            <w:tcW w:w="1460" w:type="dxa"/>
            <w:hideMark/>
          </w:tcPr>
          <w:p w:rsidR="00E874B4" w:rsidRDefault="00E874B4" w:rsidP="00F6163E">
            <w:pPr>
              <w:jc w:val="center"/>
              <w:rPr>
                <w:rFonts w:eastAsia="Times New Roman"/>
              </w:rPr>
            </w:pPr>
            <w:r>
              <w:rPr>
                <w:rFonts w:eastAsia="Times New Roman"/>
              </w:rPr>
              <w:t>-</w:t>
            </w:r>
          </w:p>
        </w:tc>
        <w:tc>
          <w:tcPr>
            <w:tcW w:w="1190" w:type="dxa"/>
            <w:hideMark/>
          </w:tcPr>
          <w:p w:rsidR="00E874B4" w:rsidRDefault="00E874B4" w:rsidP="00F6163E">
            <w:pPr>
              <w:jc w:val="center"/>
              <w:rPr>
                <w:rFonts w:eastAsia="Times New Roman"/>
              </w:rPr>
            </w:pPr>
            <w:r>
              <w:rPr>
                <w:rFonts w:eastAsia="Times New Roman"/>
              </w:rPr>
              <w:t>1</w:t>
            </w:r>
          </w:p>
        </w:tc>
      </w:tr>
      <w:tr w:rsidR="00830A61" w:rsidRPr="00830A61" w:rsidTr="002D453C">
        <w:tc>
          <w:tcPr>
            <w:tcW w:w="3534" w:type="dxa"/>
            <w:shd w:val="clear" w:color="auto" w:fill="FDE9D9" w:themeFill="accent6" w:themeFillTint="33"/>
            <w:hideMark/>
          </w:tcPr>
          <w:p w:rsidR="00E874B4" w:rsidRPr="00830A61" w:rsidRDefault="00E874B4">
            <w:pPr>
              <w:rPr>
                <w:rFonts w:eastAsia="Times New Roman"/>
                <w:b/>
              </w:rPr>
            </w:pPr>
            <w:r w:rsidRPr="00830A61">
              <w:rPr>
                <w:rFonts w:eastAsia="Times New Roman"/>
                <w:b/>
              </w:rPr>
              <w:t>Total</w:t>
            </w:r>
          </w:p>
        </w:tc>
        <w:tc>
          <w:tcPr>
            <w:tcW w:w="1459" w:type="dxa"/>
            <w:shd w:val="clear" w:color="auto" w:fill="FDE9D9" w:themeFill="accent6" w:themeFillTint="33"/>
            <w:hideMark/>
          </w:tcPr>
          <w:p w:rsidR="00E874B4" w:rsidRPr="00830A61" w:rsidRDefault="00E874B4" w:rsidP="00F6163E">
            <w:pPr>
              <w:jc w:val="center"/>
              <w:rPr>
                <w:rFonts w:eastAsia="Times New Roman"/>
                <w:b/>
              </w:rPr>
            </w:pPr>
            <w:r w:rsidRPr="00830A61">
              <w:rPr>
                <w:rFonts w:eastAsia="Times New Roman"/>
                <w:b/>
              </w:rPr>
              <w:t>3</w:t>
            </w:r>
          </w:p>
        </w:tc>
        <w:tc>
          <w:tcPr>
            <w:tcW w:w="1459" w:type="dxa"/>
            <w:shd w:val="clear" w:color="auto" w:fill="FDE9D9" w:themeFill="accent6" w:themeFillTint="33"/>
            <w:hideMark/>
          </w:tcPr>
          <w:p w:rsidR="00E874B4" w:rsidRPr="00830A61" w:rsidRDefault="00E874B4" w:rsidP="00F6163E">
            <w:pPr>
              <w:jc w:val="center"/>
              <w:rPr>
                <w:rFonts w:eastAsia="Times New Roman"/>
                <w:b/>
              </w:rPr>
            </w:pPr>
            <w:r w:rsidRPr="00830A61">
              <w:rPr>
                <w:rFonts w:eastAsia="Times New Roman"/>
                <w:b/>
              </w:rPr>
              <w:t>4</w:t>
            </w:r>
          </w:p>
        </w:tc>
        <w:tc>
          <w:tcPr>
            <w:tcW w:w="1460" w:type="dxa"/>
            <w:shd w:val="clear" w:color="auto" w:fill="FDE9D9" w:themeFill="accent6" w:themeFillTint="33"/>
            <w:hideMark/>
          </w:tcPr>
          <w:p w:rsidR="00E874B4" w:rsidRPr="00830A61" w:rsidRDefault="00E874B4" w:rsidP="00F6163E">
            <w:pPr>
              <w:jc w:val="center"/>
              <w:rPr>
                <w:rFonts w:eastAsia="Times New Roman"/>
                <w:b/>
              </w:rPr>
            </w:pPr>
            <w:r w:rsidRPr="00830A61">
              <w:rPr>
                <w:rFonts w:eastAsia="Times New Roman"/>
                <w:b/>
              </w:rPr>
              <w:t>6</w:t>
            </w:r>
          </w:p>
        </w:tc>
        <w:tc>
          <w:tcPr>
            <w:tcW w:w="1459" w:type="dxa"/>
            <w:shd w:val="clear" w:color="auto" w:fill="FDE9D9" w:themeFill="accent6" w:themeFillTint="33"/>
            <w:hideMark/>
          </w:tcPr>
          <w:p w:rsidR="00E874B4" w:rsidRPr="00830A61" w:rsidRDefault="00E874B4" w:rsidP="00F6163E">
            <w:pPr>
              <w:jc w:val="center"/>
              <w:rPr>
                <w:rFonts w:eastAsia="Times New Roman"/>
                <w:b/>
              </w:rPr>
            </w:pPr>
            <w:r w:rsidRPr="00830A61">
              <w:rPr>
                <w:rFonts w:eastAsia="Times New Roman"/>
                <w:b/>
              </w:rPr>
              <w:t>2</w:t>
            </w:r>
          </w:p>
        </w:tc>
        <w:tc>
          <w:tcPr>
            <w:tcW w:w="1460" w:type="dxa"/>
            <w:shd w:val="clear" w:color="auto" w:fill="FDE9D9" w:themeFill="accent6" w:themeFillTint="33"/>
            <w:hideMark/>
          </w:tcPr>
          <w:p w:rsidR="00E874B4" w:rsidRPr="00830A61" w:rsidRDefault="00E874B4" w:rsidP="00F6163E">
            <w:pPr>
              <w:jc w:val="center"/>
              <w:rPr>
                <w:rFonts w:eastAsia="Times New Roman"/>
                <w:b/>
              </w:rPr>
            </w:pPr>
            <w:r w:rsidRPr="00830A61">
              <w:rPr>
                <w:rFonts w:eastAsia="Times New Roman"/>
                <w:b/>
              </w:rPr>
              <w:t>9</w:t>
            </w:r>
          </w:p>
        </w:tc>
        <w:tc>
          <w:tcPr>
            <w:tcW w:w="1459" w:type="dxa"/>
            <w:shd w:val="clear" w:color="auto" w:fill="FDE9D9" w:themeFill="accent6" w:themeFillTint="33"/>
            <w:hideMark/>
          </w:tcPr>
          <w:p w:rsidR="00E874B4" w:rsidRPr="00830A61" w:rsidRDefault="00E874B4" w:rsidP="00F6163E">
            <w:pPr>
              <w:jc w:val="center"/>
              <w:rPr>
                <w:rFonts w:eastAsia="Times New Roman"/>
                <w:b/>
              </w:rPr>
            </w:pPr>
            <w:r w:rsidRPr="00830A61">
              <w:rPr>
                <w:rFonts w:eastAsia="Times New Roman"/>
                <w:b/>
              </w:rPr>
              <w:t>1</w:t>
            </w:r>
          </w:p>
        </w:tc>
        <w:tc>
          <w:tcPr>
            <w:tcW w:w="1460" w:type="dxa"/>
            <w:shd w:val="clear" w:color="auto" w:fill="FDE9D9" w:themeFill="accent6" w:themeFillTint="33"/>
            <w:hideMark/>
          </w:tcPr>
          <w:p w:rsidR="00E874B4" w:rsidRPr="00830A61" w:rsidRDefault="00E874B4" w:rsidP="00F6163E">
            <w:pPr>
              <w:jc w:val="center"/>
              <w:rPr>
                <w:rFonts w:eastAsia="Times New Roman"/>
                <w:b/>
              </w:rPr>
            </w:pPr>
            <w:r w:rsidRPr="00830A61">
              <w:rPr>
                <w:rFonts w:eastAsia="Times New Roman"/>
                <w:b/>
              </w:rPr>
              <w:t>3</w:t>
            </w:r>
          </w:p>
        </w:tc>
        <w:tc>
          <w:tcPr>
            <w:tcW w:w="1190" w:type="dxa"/>
            <w:shd w:val="clear" w:color="auto" w:fill="FDE9D9" w:themeFill="accent6" w:themeFillTint="33"/>
            <w:hideMark/>
          </w:tcPr>
          <w:p w:rsidR="00E874B4" w:rsidRPr="00830A61" w:rsidRDefault="00E874B4" w:rsidP="00F6163E">
            <w:pPr>
              <w:jc w:val="center"/>
              <w:rPr>
                <w:rFonts w:eastAsia="Times New Roman"/>
                <w:b/>
              </w:rPr>
            </w:pPr>
            <w:r w:rsidRPr="00830A61">
              <w:rPr>
                <w:rFonts w:eastAsia="Times New Roman"/>
                <w:b/>
              </w:rPr>
              <w:t>28</w:t>
            </w:r>
          </w:p>
        </w:tc>
      </w:tr>
    </w:tbl>
    <w:p w:rsidR="00E874B4" w:rsidRDefault="009F068D" w:rsidP="00287093">
      <w:pPr>
        <w:pStyle w:val="CDIfootnotes"/>
      </w:pPr>
      <w:proofErr w:type="spellStart"/>
      <w:proofErr w:type="gramStart"/>
      <w:r>
        <w:t>a</w:t>
      </w:r>
      <w:proofErr w:type="spellEnd"/>
      <w:proofErr w:type="gramEnd"/>
      <w:r>
        <w:tab/>
      </w:r>
      <w:r w:rsidR="00E874B4">
        <w:t>ACT values are not shown since no ACT detections of these genotypes were made.</w:t>
      </w:r>
    </w:p>
    <w:p w:rsidR="00FF4C26" w:rsidRDefault="00FF4C26">
      <w:pPr>
        <w:pStyle w:val="Heading3"/>
        <w:rPr>
          <w:rFonts w:eastAsia="Times New Roman"/>
        </w:rPr>
        <w:sectPr w:rsidR="00FF4C26" w:rsidSect="00FF4C26">
          <w:pgSz w:w="16838" w:h="11906" w:orient="landscape"/>
          <w:pgMar w:top="720" w:right="720" w:bottom="720" w:left="1134" w:header="709" w:footer="284" w:gutter="0"/>
          <w:cols w:space="708"/>
          <w:titlePg/>
          <w:docGrid w:linePitch="360"/>
        </w:sectPr>
      </w:pPr>
    </w:p>
    <w:p w:rsidR="00E874B4" w:rsidRDefault="00E874B4">
      <w:pPr>
        <w:pStyle w:val="Heading3"/>
        <w:rPr>
          <w:rFonts w:eastAsia="Times New Roman"/>
        </w:rPr>
      </w:pPr>
      <w:r>
        <w:rPr>
          <w:rFonts w:eastAsia="Times New Roman"/>
        </w:rPr>
        <w:lastRenderedPageBreak/>
        <w:t xml:space="preserve">Genotypes identified in samples from children ≤5 years of age </w:t>
      </w:r>
    </w:p>
    <w:p w:rsidR="00E874B4" w:rsidRDefault="00E874B4" w:rsidP="004A60F4">
      <w:r>
        <w:t xml:space="preserve">449 </w:t>
      </w:r>
      <w:proofErr w:type="spellStart"/>
      <w:r>
        <w:t>wildtype</w:t>
      </w:r>
      <w:proofErr w:type="spellEnd"/>
      <w:r>
        <w:t xml:space="preserve"> rotavirus samples in total were collected from children ≤5 years of age (Table 4). Within this subset, </w:t>
      </w:r>
      <w:proofErr w:type="gramStart"/>
      <w:r>
        <w:t>G2P[</w:t>
      </w:r>
      <w:proofErr w:type="gramEnd"/>
      <w:r>
        <w:t xml:space="preserve">4] was the most common genotype identified, found in 32% of all samples. Equine-like </w:t>
      </w:r>
      <w:proofErr w:type="gramStart"/>
      <w:r>
        <w:t>G3P[</w:t>
      </w:r>
      <w:proofErr w:type="gramEnd"/>
      <w:r>
        <w:t xml:space="preserve">8] was the second most common genotype (29%), and G8P[8] strains were the third most common genotype (16%). </w:t>
      </w:r>
      <w:proofErr w:type="gramStart"/>
      <w:r>
        <w:t>G1P[</w:t>
      </w:r>
      <w:proofErr w:type="gramEnd"/>
      <w:r>
        <w:t xml:space="preserve">8], G3P[8], G9P[8], and G12P[8], represented minor genotypes, identified in 1–10% of all genotypes. (Table 4). </w:t>
      </w:r>
    </w:p>
    <w:p w:rsidR="00AE766E" w:rsidRDefault="00AE766E" w:rsidP="00580372">
      <w:pPr>
        <w:pStyle w:val="CDIFigures"/>
        <w:rPr>
          <w:rStyle w:val="Strong"/>
          <w:b/>
          <w:bCs w:val="0"/>
        </w:rPr>
        <w:sectPr w:rsidR="00AE766E" w:rsidSect="00A30C37">
          <w:pgSz w:w="11906" w:h="16838"/>
          <w:pgMar w:top="720" w:right="720" w:bottom="1134" w:left="720" w:header="709" w:footer="284" w:gutter="0"/>
          <w:cols w:space="708"/>
          <w:titlePg/>
          <w:docGrid w:linePitch="360"/>
        </w:sectPr>
      </w:pPr>
    </w:p>
    <w:p w:rsidR="00E874B4" w:rsidRPr="00580372" w:rsidRDefault="00E874B4" w:rsidP="00580372">
      <w:pPr>
        <w:pStyle w:val="CDIFigures"/>
      </w:pPr>
      <w:r w:rsidRPr="00580372">
        <w:rPr>
          <w:rStyle w:val="Strong"/>
          <w:b/>
          <w:bCs w:val="0"/>
        </w:rPr>
        <w:lastRenderedPageBreak/>
        <w:t>Table 4: Rotavirus G- and P- genotype distribution in infants and children ≤5 years of age, 1 January to 31 December 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describes the 2017 genotype distribution of rotavirus positive samples in children under 5 years of age, which had no vaccine component identified. Of 449 samples, 32% were G2P[4] while the second and third most common genotypes found were equine-like G3P[8] (29%) and G8P[8] (16%)."/>
      </w:tblPr>
      <w:tblGrid>
        <w:gridCol w:w="1777"/>
        <w:gridCol w:w="556"/>
        <w:gridCol w:w="687"/>
        <w:gridCol w:w="688"/>
        <w:gridCol w:w="688"/>
        <w:gridCol w:w="687"/>
        <w:gridCol w:w="688"/>
        <w:gridCol w:w="688"/>
        <w:gridCol w:w="688"/>
        <w:gridCol w:w="687"/>
        <w:gridCol w:w="688"/>
        <w:gridCol w:w="688"/>
        <w:gridCol w:w="687"/>
        <w:gridCol w:w="688"/>
        <w:gridCol w:w="688"/>
        <w:gridCol w:w="688"/>
        <w:gridCol w:w="687"/>
        <w:gridCol w:w="688"/>
        <w:gridCol w:w="688"/>
        <w:gridCol w:w="688"/>
      </w:tblGrid>
      <w:tr w:rsidR="00AB5CDD" w:rsidRPr="00AB5CDD" w:rsidTr="000F78B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rsidR="00E874B4" w:rsidRPr="00AB5CDD" w:rsidRDefault="00E874B4">
            <w:pPr>
              <w:rPr>
                <w:rFonts w:eastAsia="Times New Roman"/>
                <w:color w:val="FFFFFF" w:themeColor="background1"/>
              </w:rPr>
            </w:pPr>
            <w:r w:rsidRPr="00AB5CDD">
              <w:rPr>
                <w:rFonts w:eastAsia="Times New Roman"/>
                <w:color w:val="FFFFFF" w:themeColor="background1"/>
              </w:rPr>
              <w:t>Centre</w:t>
            </w:r>
          </w:p>
        </w:tc>
        <w:tc>
          <w:tcPr>
            <w:tcW w:w="0" w:type="auto"/>
            <w:vMerge w:val="restart"/>
            <w:hideMark/>
          </w:tcPr>
          <w:p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Type</w:t>
            </w:r>
            <w:r w:rsidRPr="00AB5CDD">
              <w:rPr>
                <w:rFonts w:eastAsia="Times New Roman"/>
                <w:color w:val="FFFFFF" w:themeColor="background1"/>
              </w:rPr>
              <w:br/>
              <w:t>total</w:t>
            </w:r>
          </w:p>
        </w:tc>
        <w:tc>
          <w:tcPr>
            <w:tcW w:w="1375" w:type="dxa"/>
            <w:gridSpan w:val="2"/>
            <w:hideMark/>
          </w:tcPr>
          <w:p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G1P[8]</w:t>
            </w:r>
          </w:p>
        </w:tc>
        <w:tc>
          <w:tcPr>
            <w:tcW w:w="1375" w:type="dxa"/>
            <w:gridSpan w:val="2"/>
            <w:hideMark/>
          </w:tcPr>
          <w:p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G2P[4]</w:t>
            </w:r>
          </w:p>
        </w:tc>
        <w:tc>
          <w:tcPr>
            <w:tcW w:w="1376" w:type="dxa"/>
            <w:gridSpan w:val="2"/>
            <w:hideMark/>
          </w:tcPr>
          <w:p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G3P[8]</w:t>
            </w:r>
          </w:p>
        </w:tc>
        <w:tc>
          <w:tcPr>
            <w:tcW w:w="1375" w:type="dxa"/>
            <w:gridSpan w:val="2"/>
            <w:hideMark/>
          </w:tcPr>
          <w:p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G3P[8]</w:t>
            </w:r>
            <w:r w:rsidRPr="00AB5CDD">
              <w:rPr>
                <w:rFonts w:eastAsia="Times New Roman"/>
                <w:color w:val="FFFFFF" w:themeColor="background1"/>
                <w:vertAlign w:val="superscript"/>
              </w:rPr>
              <w:t>a</w:t>
            </w:r>
          </w:p>
        </w:tc>
        <w:tc>
          <w:tcPr>
            <w:tcW w:w="1376" w:type="dxa"/>
            <w:gridSpan w:val="2"/>
            <w:hideMark/>
          </w:tcPr>
          <w:p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G8P[8]</w:t>
            </w:r>
          </w:p>
        </w:tc>
        <w:tc>
          <w:tcPr>
            <w:tcW w:w="1375" w:type="dxa"/>
            <w:gridSpan w:val="2"/>
            <w:hideMark/>
          </w:tcPr>
          <w:p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G9P[8]</w:t>
            </w:r>
          </w:p>
        </w:tc>
        <w:tc>
          <w:tcPr>
            <w:tcW w:w="1376" w:type="dxa"/>
            <w:gridSpan w:val="2"/>
            <w:hideMark/>
          </w:tcPr>
          <w:p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G12P[8]</w:t>
            </w:r>
          </w:p>
        </w:tc>
        <w:tc>
          <w:tcPr>
            <w:tcW w:w="1375" w:type="dxa"/>
            <w:gridSpan w:val="2"/>
            <w:hideMark/>
          </w:tcPr>
          <w:p w:rsidR="00E874B4" w:rsidRPr="00AB5CDD" w:rsidRDefault="00E874B4" w:rsidP="00D05823">
            <w:pPr>
              <w:jc w:val="center"/>
              <w:rPr>
                <w:rFonts w:eastAsia="Times New Roman"/>
                <w:color w:val="FFFFFF" w:themeColor="background1"/>
              </w:rPr>
            </w:pPr>
            <w:proofErr w:type="spellStart"/>
            <w:r w:rsidRPr="00AB5CDD">
              <w:rPr>
                <w:rFonts w:eastAsia="Times New Roman"/>
                <w:color w:val="FFFFFF" w:themeColor="background1"/>
              </w:rPr>
              <w:t>Other</w:t>
            </w:r>
            <w:r w:rsidRPr="00AB5CDD">
              <w:rPr>
                <w:rFonts w:eastAsia="Times New Roman"/>
                <w:color w:val="FFFFFF" w:themeColor="background1"/>
                <w:vertAlign w:val="superscript"/>
              </w:rPr>
              <w:t>b</w:t>
            </w:r>
            <w:proofErr w:type="spellEnd"/>
          </w:p>
        </w:tc>
        <w:tc>
          <w:tcPr>
            <w:tcW w:w="1376" w:type="dxa"/>
            <w:gridSpan w:val="2"/>
            <w:hideMark/>
          </w:tcPr>
          <w:p w:rsidR="00E874B4" w:rsidRPr="00AB5CDD" w:rsidRDefault="00E874B4" w:rsidP="00D05823">
            <w:pPr>
              <w:jc w:val="center"/>
              <w:rPr>
                <w:rFonts w:eastAsia="Times New Roman"/>
                <w:color w:val="FFFFFF" w:themeColor="background1"/>
              </w:rPr>
            </w:pPr>
            <w:r w:rsidRPr="00AB5CDD">
              <w:rPr>
                <w:rFonts w:eastAsia="Times New Roman"/>
                <w:color w:val="FFFFFF" w:themeColor="background1"/>
              </w:rPr>
              <w:t>Non-</w:t>
            </w:r>
            <w:proofErr w:type="spellStart"/>
            <w:r w:rsidRPr="00AB5CDD">
              <w:rPr>
                <w:rFonts w:eastAsia="Times New Roman"/>
                <w:color w:val="FFFFFF" w:themeColor="background1"/>
              </w:rPr>
              <w:t>type</w:t>
            </w:r>
            <w:r w:rsidRPr="00AB5CDD">
              <w:rPr>
                <w:rFonts w:eastAsia="Times New Roman"/>
                <w:color w:val="FFFFFF" w:themeColor="background1"/>
                <w:vertAlign w:val="superscript"/>
              </w:rPr>
              <w:t>c</w:t>
            </w:r>
            <w:proofErr w:type="spellEnd"/>
          </w:p>
        </w:tc>
      </w:tr>
      <w:tr w:rsidR="00116D65" w:rsidRPr="00AB5CDD" w:rsidTr="00DC32AC">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rsidR="00E874B4" w:rsidRPr="00AB5CDD" w:rsidRDefault="00E874B4">
            <w:pPr>
              <w:rPr>
                <w:rFonts w:eastAsia="Times New Roman"/>
                <w:color w:val="FFFFFF" w:themeColor="background1"/>
                <w:sz w:val="24"/>
                <w:szCs w:val="24"/>
              </w:rPr>
            </w:pPr>
          </w:p>
        </w:tc>
        <w:tc>
          <w:tcPr>
            <w:tcW w:w="0" w:type="auto"/>
            <w:vMerge/>
            <w:hideMark/>
          </w:tcPr>
          <w:p w:rsidR="00E874B4" w:rsidRPr="00AB5CDD" w:rsidRDefault="00E874B4" w:rsidP="00D05823">
            <w:pPr>
              <w:jc w:val="center"/>
              <w:rPr>
                <w:rFonts w:eastAsia="Times New Roman"/>
                <w:color w:val="FFFFFF" w:themeColor="background1"/>
                <w:sz w:val="24"/>
                <w:szCs w:val="24"/>
              </w:rPr>
            </w:pPr>
          </w:p>
        </w:tc>
        <w:tc>
          <w:tcPr>
            <w:tcW w:w="687" w:type="dxa"/>
            <w:shd w:val="clear" w:color="auto" w:fill="DBE5F1" w:themeFill="accent1" w:themeFillTint="33"/>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8" w:type="dxa"/>
            <w:shd w:val="clear" w:color="auto" w:fill="FFFFFF" w:themeFill="background1"/>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8" w:type="dxa"/>
            <w:shd w:val="clear" w:color="auto" w:fill="DBE5F1" w:themeFill="accent1" w:themeFillTint="33"/>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7" w:type="dxa"/>
            <w:shd w:val="clear" w:color="auto" w:fill="FFFFFF" w:themeFill="background1"/>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8" w:type="dxa"/>
            <w:shd w:val="clear" w:color="auto" w:fill="DBE5F1" w:themeFill="accent1" w:themeFillTint="33"/>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8" w:type="dxa"/>
            <w:shd w:val="clear" w:color="auto" w:fill="FFFFFF" w:themeFill="background1"/>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8" w:type="dxa"/>
            <w:shd w:val="clear" w:color="auto" w:fill="DBE5F1" w:themeFill="accent1" w:themeFillTint="33"/>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7" w:type="dxa"/>
            <w:shd w:val="clear" w:color="auto" w:fill="FFFFFF" w:themeFill="background1"/>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8" w:type="dxa"/>
            <w:shd w:val="clear" w:color="auto" w:fill="DBE5F1" w:themeFill="accent1" w:themeFillTint="33"/>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8" w:type="dxa"/>
            <w:shd w:val="clear" w:color="auto" w:fill="FFFFFF" w:themeFill="background1"/>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7" w:type="dxa"/>
            <w:shd w:val="clear" w:color="auto" w:fill="DBE5F1" w:themeFill="accent1" w:themeFillTint="33"/>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8" w:type="dxa"/>
            <w:shd w:val="clear" w:color="auto" w:fill="FFFFFF" w:themeFill="background1"/>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8" w:type="dxa"/>
            <w:shd w:val="clear" w:color="auto" w:fill="DBE5F1" w:themeFill="accent1" w:themeFillTint="33"/>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8" w:type="dxa"/>
            <w:shd w:val="clear" w:color="auto" w:fill="FFFFFF" w:themeFill="background1"/>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7" w:type="dxa"/>
            <w:shd w:val="clear" w:color="auto" w:fill="DBE5F1" w:themeFill="accent1" w:themeFillTint="33"/>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8" w:type="dxa"/>
            <w:shd w:val="clear" w:color="auto" w:fill="FFFFFF" w:themeFill="background1"/>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c>
          <w:tcPr>
            <w:tcW w:w="688" w:type="dxa"/>
            <w:shd w:val="clear" w:color="auto" w:fill="DBE5F1" w:themeFill="accent1" w:themeFillTint="33"/>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w:t>
            </w:r>
          </w:p>
        </w:tc>
        <w:tc>
          <w:tcPr>
            <w:tcW w:w="688" w:type="dxa"/>
            <w:shd w:val="clear" w:color="auto" w:fill="FFFFFF" w:themeFill="background1"/>
            <w:hideMark/>
          </w:tcPr>
          <w:p w:rsidR="00E874B4" w:rsidRPr="00083211" w:rsidRDefault="00E874B4" w:rsidP="00D05823">
            <w:pPr>
              <w:jc w:val="center"/>
              <w:rPr>
                <w:rFonts w:eastAsia="Times New Roman"/>
                <w:color w:val="0D0D0D" w:themeColor="text1" w:themeTint="F2"/>
              </w:rPr>
            </w:pPr>
            <w:r w:rsidRPr="00083211">
              <w:rPr>
                <w:rFonts w:eastAsia="Times New Roman"/>
                <w:color w:val="0D0D0D" w:themeColor="text1" w:themeTint="F2"/>
              </w:rPr>
              <w:t>n</w:t>
            </w:r>
          </w:p>
        </w:tc>
      </w:tr>
      <w:tr w:rsidR="00116D65" w:rsidTr="000D175C">
        <w:tc>
          <w:tcPr>
            <w:tcW w:w="0" w:type="auto"/>
            <w:shd w:val="clear" w:color="auto" w:fill="FFFFFF" w:themeFill="background1"/>
            <w:hideMark/>
          </w:tcPr>
          <w:p w:rsidR="00E874B4" w:rsidRDefault="00E874B4">
            <w:pPr>
              <w:rPr>
                <w:rFonts w:eastAsia="Times New Roman"/>
              </w:rPr>
            </w:pPr>
            <w:r>
              <w:rPr>
                <w:rFonts w:eastAsia="Times New Roman"/>
              </w:rPr>
              <w:t>ACT</w:t>
            </w:r>
          </w:p>
        </w:tc>
        <w:tc>
          <w:tcPr>
            <w:tcW w:w="0" w:type="auto"/>
            <w:shd w:val="clear" w:color="auto" w:fill="FFFFFF" w:themeFill="background1"/>
            <w:hideMark/>
          </w:tcPr>
          <w:p w:rsidR="00E874B4" w:rsidRDefault="00E874B4" w:rsidP="00D05823">
            <w:pPr>
              <w:jc w:val="center"/>
              <w:rPr>
                <w:rFonts w:eastAsia="Times New Roman"/>
              </w:rPr>
            </w:pPr>
            <w:r>
              <w:rPr>
                <w:rFonts w:eastAsia="Times New Roman"/>
              </w:rPr>
              <w:t>16</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13</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2</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88</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14</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r>
      <w:tr w:rsidR="00116D65" w:rsidTr="000D175C">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rsidR="00E874B4" w:rsidRDefault="00E874B4">
            <w:pPr>
              <w:rPr>
                <w:rFonts w:eastAsia="Times New Roman"/>
              </w:rPr>
            </w:pPr>
            <w:r>
              <w:rPr>
                <w:rFonts w:eastAsia="Times New Roman"/>
              </w:rPr>
              <w:t>New South Wales</w:t>
            </w:r>
          </w:p>
        </w:tc>
        <w:tc>
          <w:tcPr>
            <w:tcW w:w="0" w:type="auto"/>
            <w:shd w:val="clear" w:color="auto" w:fill="FFFFFF" w:themeFill="background1"/>
            <w:hideMark/>
          </w:tcPr>
          <w:p w:rsidR="00E874B4" w:rsidRDefault="00E874B4" w:rsidP="00D05823">
            <w:pPr>
              <w:jc w:val="center"/>
              <w:rPr>
                <w:rFonts w:eastAsia="Times New Roman"/>
              </w:rPr>
            </w:pPr>
            <w:r>
              <w:rPr>
                <w:rFonts w:eastAsia="Times New Roman"/>
              </w:rPr>
              <w:t>165</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1</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2</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10</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16</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6</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10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56</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93</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20</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33</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3</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5</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2</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4</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1</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2</w:t>
            </w:r>
          </w:p>
        </w:tc>
      </w:tr>
      <w:tr w:rsidR="00116D65" w:rsidTr="000D175C">
        <w:tc>
          <w:tcPr>
            <w:tcW w:w="0" w:type="auto"/>
            <w:shd w:val="clear" w:color="auto" w:fill="FFFFFF" w:themeFill="background1"/>
            <w:hideMark/>
          </w:tcPr>
          <w:p w:rsidR="00E874B4" w:rsidRDefault="00E874B4">
            <w:pPr>
              <w:rPr>
                <w:rFonts w:eastAsia="Times New Roman"/>
              </w:rPr>
            </w:pPr>
            <w:r>
              <w:rPr>
                <w:rFonts w:eastAsia="Times New Roman"/>
              </w:rPr>
              <w:t>Northern Territory</w:t>
            </w:r>
          </w:p>
        </w:tc>
        <w:tc>
          <w:tcPr>
            <w:tcW w:w="0" w:type="auto"/>
            <w:shd w:val="clear" w:color="auto" w:fill="FFFFFF" w:themeFill="background1"/>
            <w:hideMark/>
          </w:tcPr>
          <w:p w:rsidR="00E874B4" w:rsidRDefault="00E874B4" w:rsidP="00D05823">
            <w:pPr>
              <w:jc w:val="center"/>
              <w:rPr>
                <w:rFonts w:eastAsia="Times New Roman"/>
              </w:rPr>
            </w:pPr>
            <w:r>
              <w:rPr>
                <w:rFonts w:eastAsia="Times New Roman"/>
              </w:rPr>
              <w:t>19</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95</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18</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5</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r>
      <w:tr w:rsidR="00116D65" w:rsidTr="000D175C">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rsidR="00E874B4" w:rsidRDefault="00E874B4">
            <w:pPr>
              <w:rPr>
                <w:rFonts w:eastAsia="Times New Roman"/>
              </w:rPr>
            </w:pPr>
            <w:r>
              <w:rPr>
                <w:rFonts w:eastAsia="Times New Roman"/>
              </w:rPr>
              <w:t>Queensland</w:t>
            </w:r>
          </w:p>
        </w:tc>
        <w:tc>
          <w:tcPr>
            <w:tcW w:w="0" w:type="auto"/>
            <w:shd w:val="clear" w:color="auto" w:fill="FFFFFF" w:themeFill="background1"/>
            <w:hideMark/>
          </w:tcPr>
          <w:p w:rsidR="00E874B4" w:rsidRDefault="00E874B4" w:rsidP="00D05823">
            <w:pPr>
              <w:jc w:val="center"/>
              <w:rPr>
                <w:rFonts w:eastAsia="Times New Roman"/>
              </w:rPr>
            </w:pPr>
            <w:r>
              <w:rPr>
                <w:rFonts w:eastAsia="Times New Roman"/>
              </w:rPr>
              <w:t>32</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22</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7</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13</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4</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41</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13</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6</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2</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19</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6</w:t>
            </w:r>
          </w:p>
        </w:tc>
      </w:tr>
      <w:tr w:rsidR="00116D65" w:rsidTr="000D175C">
        <w:tc>
          <w:tcPr>
            <w:tcW w:w="0" w:type="auto"/>
            <w:shd w:val="clear" w:color="auto" w:fill="FFFFFF" w:themeFill="background1"/>
            <w:hideMark/>
          </w:tcPr>
          <w:p w:rsidR="00E874B4" w:rsidRDefault="00E874B4">
            <w:pPr>
              <w:rPr>
                <w:rFonts w:eastAsia="Times New Roman"/>
              </w:rPr>
            </w:pPr>
            <w:r>
              <w:rPr>
                <w:rFonts w:eastAsia="Times New Roman"/>
              </w:rPr>
              <w:t>South Australia</w:t>
            </w:r>
          </w:p>
        </w:tc>
        <w:tc>
          <w:tcPr>
            <w:tcW w:w="0" w:type="auto"/>
            <w:shd w:val="clear" w:color="auto" w:fill="FFFFFF" w:themeFill="background1"/>
            <w:hideMark/>
          </w:tcPr>
          <w:p w:rsidR="00E874B4" w:rsidRDefault="00E874B4" w:rsidP="00D05823">
            <w:pPr>
              <w:jc w:val="center"/>
              <w:rPr>
                <w:rFonts w:eastAsia="Times New Roman"/>
              </w:rPr>
            </w:pPr>
            <w:r>
              <w:rPr>
                <w:rFonts w:eastAsia="Times New Roman"/>
              </w:rPr>
              <w:t>30</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3</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63</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19</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17</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5</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10</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3</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7</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2</w:t>
            </w:r>
          </w:p>
        </w:tc>
      </w:tr>
      <w:tr w:rsidR="00116D65" w:rsidTr="000D175C">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rsidR="00E874B4" w:rsidRDefault="00E874B4">
            <w:pPr>
              <w:rPr>
                <w:rFonts w:eastAsia="Times New Roman"/>
              </w:rPr>
            </w:pPr>
            <w:r>
              <w:rPr>
                <w:rFonts w:eastAsia="Times New Roman"/>
              </w:rPr>
              <w:t>Tasmania</w:t>
            </w:r>
          </w:p>
        </w:tc>
        <w:tc>
          <w:tcPr>
            <w:tcW w:w="0" w:type="auto"/>
            <w:shd w:val="clear" w:color="auto" w:fill="FFFFFF" w:themeFill="background1"/>
            <w:hideMark/>
          </w:tcPr>
          <w:p w:rsidR="00E874B4" w:rsidRDefault="00E874B4" w:rsidP="00D05823">
            <w:pPr>
              <w:jc w:val="center"/>
              <w:rPr>
                <w:rFonts w:eastAsia="Times New Roman"/>
              </w:rPr>
            </w:pPr>
            <w:r>
              <w:rPr>
                <w:rFonts w:eastAsia="Times New Roman"/>
              </w:rPr>
              <w:t>22</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0</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27</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6</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5</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55</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12</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5</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1</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5</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5</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1</w:t>
            </w:r>
          </w:p>
        </w:tc>
      </w:tr>
      <w:tr w:rsidR="00116D65" w:rsidTr="000D175C">
        <w:tc>
          <w:tcPr>
            <w:tcW w:w="0" w:type="auto"/>
            <w:shd w:val="clear" w:color="auto" w:fill="FFFFFF" w:themeFill="background1"/>
            <w:hideMark/>
          </w:tcPr>
          <w:p w:rsidR="00E874B4" w:rsidRDefault="00E874B4">
            <w:pPr>
              <w:rPr>
                <w:rFonts w:eastAsia="Times New Roman"/>
              </w:rPr>
            </w:pPr>
            <w:r>
              <w:rPr>
                <w:rFonts w:eastAsia="Times New Roman"/>
              </w:rPr>
              <w:t>Victoria</w:t>
            </w:r>
          </w:p>
        </w:tc>
        <w:tc>
          <w:tcPr>
            <w:tcW w:w="0" w:type="auto"/>
            <w:shd w:val="clear" w:color="auto" w:fill="FFFFFF" w:themeFill="background1"/>
            <w:hideMark/>
          </w:tcPr>
          <w:p w:rsidR="00E874B4" w:rsidRDefault="00E874B4" w:rsidP="00D05823">
            <w:pPr>
              <w:jc w:val="center"/>
              <w:rPr>
                <w:rFonts w:eastAsia="Times New Roman"/>
              </w:rPr>
            </w:pPr>
            <w:r>
              <w:rPr>
                <w:rFonts w:eastAsia="Times New Roman"/>
              </w:rPr>
              <w:t>42</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5</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2</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10</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4</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5</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2</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7</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3</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45</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19</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7</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3</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14</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6</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7</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3</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r>
      <w:tr w:rsidR="00116D65" w:rsidTr="000D175C">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rsidR="00E874B4" w:rsidRDefault="00E874B4">
            <w:pPr>
              <w:rPr>
                <w:rFonts w:eastAsia="Times New Roman"/>
              </w:rPr>
            </w:pPr>
            <w:r>
              <w:rPr>
                <w:rFonts w:eastAsia="Times New Roman"/>
              </w:rPr>
              <w:t>Western Australia</w:t>
            </w:r>
          </w:p>
        </w:tc>
        <w:tc>
          <w:tcPr>
            <w:tcW w:w="0" w:type="auto"/>
            <w:shd w:val="clear" w:color="auto" w:fill="FFFFFF" w:themeFill="background1"/>
            <w:hideMark/>
          </w:tcPr>
          <w:p w:rsidR="00E874B4" w:rsidRDefault="00E874B4" w:rsidP="00D05823">
            <w:pPr>
              <w:jc w:val="center"/>
              <w:rPr>
                <w:rFonts w:eastAsia="Times New Roman"/>
              </w:rPr>
            </w:pPr>
            <w:r>
              <w:rPr>
                <w:rFonts w:eastAsia="Times New Roman"/>
              </w:rPr>
              <w:t>123</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2</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3</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66</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81</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14</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17</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4</w:t>
            </w:r>
          </w:p>
        </w:tc>
        <w:tc>
          <w:tcPr>
            <w:tcW w:w="687" w:type="dxa"/>
            <w:shd w:val="clear" w:color="auto" w:fill="FFFFFF" w:themeFill="background1"/>
            <w:hideMark/>
          </w:tcPr>
          <w:p w:rsidR="00E874B4" w:rsidRDefault="00E874B4" w:rsidP="00D05823">
            <w:pPr>
              <w:jc w:val="center"/>
              <w:rPr>
                <w:rFonts w:eastAsia="Times New Roman"/>
              </w:rPr>
            </w:pPr>
            <w:r>
              <w:rPr>
                <w:rFonts w:eastAsia="Times New Roman"/>
              </w:rPr>
              <w:t>5</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11</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13</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1</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D05823">
            <w:pPr>
              <w:jc w:val="center"/>
              <w:rPr>
                <w:rFonts w:eastAsia="Times New Roman"/>
              </w:rPr>
            </w:pPr>
            <w:r>
              <w:rPr>
                <w:rFonts w:eastAsia="Times New Roman"/>
              </w:rPr>
              <w:t>2</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2</w:t>
            </w:r>
          </w:p>
        </w:tc>
        <w:tc>
          <w:tcPr>
            <w:tcW w:w="688" w:type="dxa"/>
            <w:shd w:val="clear" w:color="auto" w:fill="DBE5F1" w:themeFill="accent1" w:themeFillTint="33"/>
            <w:hideMark/>
          </w:tcPr>
          <w:p w:rsidR="00E874B4" w:rsidRDefault="00E874B4" w:rsidP="00D05823">
            <w:pPr>
              <w:jc w:val="center"/>
              <w:rPr>
                <w:rFonts w:eastAsia="Times New Roman"/>
              </w:rPr>
            </w:pPr>
            <w:r>
              <w:rPr>
                <w:rFonts w:eastAsia="Times New Roman"/>
              </w:rPr>
              <w:t>1</w:t>
            </w:r>
          </w:p>
        </w:tc>
        <w:tc>
          <w:tcPr>
            <w:tcW w:w="688" w:type="dxa"/>
            <w:shd w:val="clear" w:color="auto" w:fill="FFFFFF" w:themeFill="background1"/>
            <w:hideMark/>
          </w:tcPr>
          <w:p w:rsidR="00E874B4" w:rsidRDefault="00E874B4" w:rsidP="00D05823">
            <w:pPr>
              <w:jc w:val="center"/>
              <w:rPr>
                <w:rFonts w:eastAsia="Times New Roman"/>
              </w:rPr>
            </w:pPr>
            <w:r>
              <w:rPr>
                <w:rFonts w:eastAsia="Times New Roman"/>
              </w:rPr>
              <w:t>1</w:t>
            </w:r>
          </w:p>
        </w:tc>
      </w:tr>
      <w:tr w:rsidR="00116D65" w:rsidTr="000F78B6">
        <w:tc>
          <w:tcPr>
            <w:tcW w:w="0" w:type="auto"/>
            <w:shd w:val="clear" w:color="auto" w:fill="FDE9D9" w:themeFill="accent6" w:themeFillTint="33"/>
            <w:hideMark/>
          </w:tcPr>
          <w:p w:rsidR="00E874B4" w:rsidRDefault="00E874B4">
            <w:pPr>
              <w:rPr>
                <w:rFonts w:eastAsia="Times New Roman"/>
              </w:rPr>
            </w:pPr>
            <w:r>
              <w:rPr>
                <w:rFonts w:eastAsia="Times New Roman"/>
              </w:rPr>
              <w:t>Total</w:t>
            </w:r>
          </w:p>
        </w:tc>
        <w:tc>
          <w:tcPr>
            <w:tcW w:w="0" w:type="auto"/>
            <w:shd w:val="clear" w:color="auto" w:fill="FDE9D9" w:themeFill="accent6" w:themeFillTint="33"/>
            <w:hideMark/>
          </w:tcPr>
          <w:p w:rsidR="00E874B4" w:rsidRDefault="00E874B4" w:rsidP="00D05823">
            <w:pPr>
              <w:jc w:val="center"/>
              <w:rPr>
                <w:rFonts w:eastAsia="Times New Roman"/>
              </w:rPr>
            </w:pPr>
            <w:r>
              <w:rPr>
                <w:rFonts w:eastAsia="Times New Roman"/>
              </w:rPr>
              <w:t>449</w:t>
            </w:r>
          </w:p>
        </w:tc>
        <w:tc>
          <w:tcPr>
            <w:tcW w:w="687" w:type="dxa"/>
            <w:shd w:val="clear" w:color="auto" w:fill="FDE9D9" w:themeFill="accent6" w:themeFillTint="33"/>
            <w:hideMark/>
          </w:tcPr>
          <w:p w:rsidR="00E874B4" w:rsidRDefault="00E874B4" w:rsidP="00D05823">
            <w:pPr>
              <w:jc w:val="center"/>
              <w:rPr>
                <w:rFonts w:eastAsia="Times New Roman"/>
              </w:rPr>
            </w:pPr>
            <w:r>
              <w:rPr>
                <w:rFonts w:eastAsia="Times New Roman"/>
              </w:rPr>
              <w:t>2</w:t>
            </w:r>
          </w:p>
        </w:tc>
        <w:tc>
          <w:tcPr>
            <w:tcW w:w="688" w:type="dxa"/>
            <w:shd w:val="clear" w:color="auto" w:fill="FDE9D9" w:themeFill="accent6" w:themeFillTint="33"/>
            <w:hideMark/>
          </w:tcPr>
          <w:p w:rsidR="00E874B4" w:rsidRDefault="00E874B4" w:rsidP="00D05823">
            <w:pPr>
              <w:jc w:val="center"/>
              <w:rPr>
                <w:rFonts w:eastAsia="Times New Roman"/>
              </w:rPr>
            </w:pPr>
            <w:r>
              <w:rPr>
                <w:rFonts w:eastAsia="Times New Roman"/>
              </w:rPr>
              <w:t>8</w:t>
            </w:r>
          </w:p>
        </w:tc>
        <w:tc>
          <w:tcPr>
            <w:tcW w:w="688" w:type="dxa"/>
            <w:shd w:val="clear" w:color="auto" w:fill="FDE9D9" w:themeFill="accent6" w:themeFillTint="33"/>
            <w:hideMark/>
          </w:tcPr>
          <w:p w:rsidR="00E874B4" w:rsidRDefault="00E874B4" w:rsidP="00D05823">
            <w:pPr>
              <w:jc w:val="center"/>
              <w:rPr>
                <w:rFonts w:eastAsia="Times New Roman"/>
              </w:rPr>
            </w:pPr>
            <w:r>
              <w:rPr>
                <w:rFonts w:eastAsia="Times New Roman"/>
              </w:rPr>
              <w:t>32</w:t>
            </w:r>
          </w:p>
        </w:tc>
        <w:tc>
          <w:tcPr>
            <w:tcW w:w="687" w:type="dxa"/>
            <w:shd w:val="clear" w:color="auto" w:fill="FDE9D9" w:themeFill="accent6" w:themeFillTint="33"/>
            <w:hideMark/>
          </w:tcPr>
          <w:p w:rsidR="00E874B4" w:rsidRDefault="00E874B4" w:rsidP="00D05823">
            <w:pPr>
              <w:jc w:val="center"/>
              <w:rPr>
                <w:rFonts w:eastAsia="Times New Roman"/>
              </w:rPr>
            </w:pPr>
            <w:r>
              <w:rPr>
                <w:rFonts w:eastAsia="Times New Roman"/>
              </w:rPr>
              <w:t>144</w:t>
            </w:r>
          </w:p>
        </w:tc>
        <w:tc>
          <w:tcPr>
            <w:tcW w:w="688" w:type="dxa"/>
            <w:shd w:val="clear" w:color="auto" w:fill="FDE9D9" w:themeFill="accent6" w:themeFillTint="33"/>
            <w:hideMark/>
          </w:tcPr>
          <w:p w:rsidR="00E874B4" w:rsidRDefault="00E874B4" w:rsidP="00D05823">
            <w:pPr>
              <w:jc w:val="center"/>
              <w:rPr>
                <w:rFonts w:eastAsia="Times New Roman"/>
              </w:rPr>
            </w:pPr>
            <w:r>
              <w:rPr>
                <w:rFonts w:eastAsia="Times New Roman"/>
              </w:rPr>
              <w:t>10</w:t>
            </w:r>
          </w:p>
        </w:tc>
        <w:tc>
          <w:tcPr>
            <w:tcW w:w="688" w:type="dxa"/>
            <w:shd w:val="clear" w:color="auto" w:fill="FDE9D9" w:themeFill="accent6" w:themeFillTint="33"/>
            <w:hideMark/>
          </w:tcPr>
          <w:p w:rsidR="00E874B4" w:rsidRDefault="00E874B4" w:rsidP="00D05823">
            <w:pPr>
              <w:jc w:val="center"/>
              <w:rPr>
                <w:rFonts w:eastAsia="Times New Roman"/>
              </w:rPr>
            </w:pPr>
            <w:r>
              <w:rPr>
                <w:rFonts w:eastAsia="Times New Roman"/>
              </w:rPr>
              <w:t>44</w:t>
            </w:r>
          </w:p>
        </w:tc>
        <w:tc>
          <w:tcPr>
            <w:tcW w:w="688" w:type="dxa"/>
            <w:shd w:val="clear" w:color="auto" w:fill="FDE9D9" w:themeFill="accent6" w:themeFillTint="33"/>
            <w:hideMark/>
          </w:tcPr>
          <w:p w:rsidR="00E874B4" w:rsidRDefault="00E874B4" w:rsidP="00D05823">
            <w:pPr>
              <w:jc w:val="center"/>
              <w:rPr>
                <w:rFonts w:eastAsia="Times New Roman"/>
              </w:rPr>
            </w:pPr>
            <w:r>
              <w:rPr>
                <w:rFonts w:eastAsia="Times New Roman"/>
              </w:rPr>
              <w:t>29</w:t>
            </w:r>
          </w:p>
        </w:tc>
        <w:tc>
          <w:tcPr>
            <w:tcW w:w="687" w:type="dxa"/>
            <w:shd w:val="clear" w:color="auto" w:fill="FDE9D9" w:themeFill="accent6" w:themeFillTint="33"/>
            <w:hideMark/>
          </w:tcPr>
          <w:p w:rsidR="00E874B4" w:rsidRDefault="00E874B4" w:rsidP="00D05823">
            <w:pPr>
              <w:jc w:val="center"/>
              <w:rPr>
                <w:rFonts w:eastAsia="Times New Roman"/>
              </w:rPr>
            </w:pPr>
            <w:r>
              <w:rPr>
                <w:rFonts w:eastAsia="Times New Roman"/>
              </w:rPr>
              <w:t>130</w:t>
            </w:r>
          </w:p>
        </w:tc>
        <w:tc>
          <w:tcPr>
            <w:tcW w:w="688" w:type="dxa"/>
            <w:shd w:val="clear" w:color="auto" w:fill="FDE9D9" w:themeFill="accent6" w:themeFillTint="33"/>
            <w:hideMark/>
          </w:tcPr>
          <w:p w:rsidR="00E874B4" w:rsidRDefault="00E874B4" w:rsidP="00D05823">
            <w:pPr>
              <w:jc w:val="center"/>
              <w:rPr>
                <w:rFonts w:eastAsia="Times New Roman"/>
              </w:rPr>
            </w:pPr>
            <w:r>
              <w:rPr>
                <w:rFonts w:eastAsia="Times New Roman"/>
              </w:rPr>
              <w:t>16</w:t>
            </w:r>
          </w:p>
        </w:tc>
        <w:tc>
          <w:tcPr>
            <w:tcW w:w="688" w:type="dxa"/>
            <w:shd w:val="clear" w:color="auto" w:fill="FDE9D9" w:themeFill="accent6" w:themeFillTint="33"/>
            <w:hideMark/>
          </w:tcPr>
          <w:p w:rsidR="00E874B4" w:rsidRDefault="00E874B4" w:rsidP="00D05823">
            <w:pPr>
              <w:jc w:val="center"/>
              <w:rPr>
                <w:rFonts w:eastAsia="Times New Roman"/>
              </w:rPr>
            </w:pPr>
            <w:r>
              <w:rPr>
                <w:rFonts w:eastAsia="Times New Roman"/>
              </w:rPr>
              <w:t>70</w:t>
            </w:r>
          </w:p>
        </w:tc>
        <w:tc>
          <w:tcPr>
            <w:tcW w:w="687" w:type="dxa"/>
            <w:shd w:val="clear" w:color="auto" w:fill="FDE9D9" w:themeFill="accent6" w:themeFillTint="33"/>
            <w:hideMark/>
          </w:tcPr>
          <w:p w:rsidR="00E874B4" w:rsidRDefault="00E874B4" w:rsidP="00D05823">
            <w:pPr>
              <w:jc w:val="center"/>
              <w:rPr>
                <w:rFonts w:eastAsia="Times New Roman"/>
              </w:rPr>
            </w:pPr>
            <w:r>
              <w:rPr>
                <w:rFonts w:eastAsia="Times New Roman"/>
              </w:rPr>
              <w:t>5</w:t>
            </w:r>
          </w:p>
        </w:tc>
        <w:tc>
          <w:tcPr>
            <w:tcW w:w="688" w:type="dxa"/>
            <w:shd w:val="clear" w:color="auto" w:fill="FDE9D9" w:themeFill="accent6" w:themeFillTint="33"/>
            <w:hideMark/>
          </w:tcPr>
          <w:p w:rsidR="00E874B4" w:rsidRDefault="00E874B4" w:rsidP="00D05823">
            <w:pPr>
              <w:jc w:val="center"/>
              <w:rPr>
                <w:rFonts w:eastAsia="Times New Roman"/>
              </w:rPr>
            </w:pPr>
            <w:r>
              <w:rPr>
                <w:rFonts w:eastAsia="Times New Roman"/>
              </w:rPr>
              <w:t>22</w:t>
            </w:r>
          </w:p>
        </w:tc>
        <w:tc>
          <w:tcPr>
            <w:tcW w:w="688" w:type="dxa"/>
            <w:shd w:val="clear" w:color="auto" w:fill="FDE9D9" w:themeFill="accent6" w:themeFillTint="33"/>
            <w:hideMark/>
          </w:tcPr>
          <w:p w:rsidR="00E874B4" w:rsidRDefault="00E874B4" w:rsidP="00D05823">
            <w:pPr>
              <w:jc w:val="center"/>
              <w:rPr>
                <w:rFonts w:eastAsia="Times New Roman"/>
              </w:rPr>
            </w:pPr>
            <w:r>
              <w:rPr>
                <w:rFonts w:eastAsia="Times New Roman"/>
              </w:rPr>
              <w:t>1</w:t>
            </w:r>
          </w:p>
        </w:tc>
        <w:tc>
          <w:tcPr>
            <w:tcW w:w="688" w:type="dxa"/>
            <w:shd w:val="clear" w:color="auto" w:fill="FDE9D9" w:themeFill="accent6" w:themeFillTint="33"/>
            <w:hideMark/>
          </w:tcPr>
          <w:p w:rsidR="00E874B4" w:rsidRDefault="00E874B4" w:rsidP="00D05823">
            <w:pPr>
              <w:jc w:val="center"/>
              <w:rPr>
                <w:rFonts w:eastAsia="Times New Roman"/>
              </w:rPr>
            </w:pPr>
            <w:r>
              <w:rPr>
                <w:rFonts w:eastAsia="Times New Roman"/>
              </w:rPr>
              <w:t>6</w:t>
            </w:r>
          </w:p>
        </w:tc>
        <w:tc>
          <w:tcPr>
            <w:tcW w:w="687" w:type="dxa"/>
            <w:shd w:val="clear" w:color="auto" w:fill="FDE9D9" w:themeFill="accent6" w:themeFillTint="33"/>
            <w:hideMark/>
          </w:tcPr>
          <w:p w:rsidR="00E874B4" w:rsidRDefault="00E874B4" w:rsidP="00D05823">
            <w:pPr>
              <w:jc w:val="center"/>
              <w:rPr>
                <w:rFonts w:eastAsia="Times New Roman"/>
              </w:rPr>
            </w:pPr>
            <w:r>
              <w:rPr>
                <w:rFonts w:eastAsia="Times New Roman"/>
              </w:rPr>
              <w:t>3</w:t>
            </w:r>
          </w:p>
        </w:tc>
        <w:tc>
          <w:tcPr>
            <w:tcW w:w="688" w:type="dxa"/>
            <w:shd w:val="clear" w:color="auto" w:fill="FDE9D9" w:themeFill="accent6" w:themeFillTint="33"/>
            <w:hideMark/>
          </w:tcPr>
          <w:p w:rsidR="00E874B4" w:rsidRDefault="00E874B4" w:rsidP="00D05823">
            <w:pPr>
              <w:jc w:val="center"/>
              <w:rPr>
                <w:rFonts w:eastAsia="Times New Roman"/>
              </w:rPr>
            </w:pPr>
            <w:r>
              <w:rPr>
                <w:rFonts w:eastAsia="Times New Roman"/>
              </w:rPr>
              <w:t>13</w:t>
            </w:r>
          </w:p>
        </w:tc>
        <w:tc>
          <w:tcPr>
            <w:tcW w:w="688" w:type="dxa"/>
            <w:shd w:val="clear" w:color="auto" w:fill="FDE9D9" w:themeFill="accent6" w:themeFillTint="33"/>
            <w:hideMark/>
          </w:tcPr>
          <w:p w:rsidR="00E874B4" w:rsidRDefault="00E874B4" w:rsidP="00D05823">
            <w:pPr>
              <w:jc w:val="center"/>
              <w:rPr>
                <w:rFonts w:eastAsia="Times New Roman"/>
              </w:rPr>
            </w:pPr>
            <w:r>
              <w:rPr>
                <w:rFonts w:eastAsia="Times New Roman"/>
              </w:rPr>
              <w:t>3</w:t>
            </w:r>
          </w:p>
        </w:tc>
        <w:tc>
          <w:tcPr>
            <w:tcW w:w="688" w:type="dxa"/>
            <w:shd w:val="clear" w:color="auto" w:fill="FDE9D9" w:themeFill="accent6" w:themeFillTint="33"/>
            <w:hideMark/>
          </w:tcPr>
          <w:p w:rsidR="00E874B4" w:rsidRDefault="00E874B4" w:rsidP="00D05823">
            <w:pPr>
              <w:jc w:val="center"/>
              <w:rPr>
                <w:rFonts w:eastAsia="Times New Roman"/>
              </w:rPr>
            </w:pPr>
            <w:r>
              <w:rPr>
                <w:rFonts w:eastAsia="Times New Roman"/>
              </w:rPr>
              <w:t>12</w:t>
            </w:r>
          </w:p>
        </w:tc>
      </w:tr>
    </w:tbl>
    <w:p w:rsidR="00E874B4" w:rsidRDefault="00BE7E02" w:rsidP="00580372">
      <w:pPr>
        <w:pStyle w:val="CDIfootnotes"/>
      </w:pPr>
      <w:proofErr w:type="spellStart"/>
      <w:proofErr w:type="gramStart"/>
      <w:r>
        <w:t>a</w:t>
      </w:r>
      <w:proofErr w:type="spellEnd"/>
      <w:proofErr w:type="gramEnd"/>
      <w:r>
        <w:tab/>
      </w:r>
      <w:r w:rsidR="00E874B4">
        <w:t>Equine-like G3P[8]</w:t>
      </w:r>
      <w:r w:rsidR="00F86994">
        <w:br/>
      </w:r>
      <w:r>
        <w:t>b</w:t>
      </w:r>
      <w:r>
        <w:tab/>
      </w:r>
      <w:r w:rsidR="00E874B4">
        <w:t>See Table 3</w:t>
      </w:r>
      <w:r w:rsidR="00F86994">
        <w:br/>
      </w:r>
      <w:r>
        <w:t>c</w:t>
      </w:r>
      <w:r>
        <w:tab/>
      </w:r>
      <w:r w:rsidR="00E874B4">
        <w:t>A specimen where G- and/or P- genotype was not determined</w:t>
      </w:r>
    </w:p>
    <w:p w:rsidR="00AE766E" w:rsidRDefault="00AE766E">
      <w:pPr>
        <w:pStyle w:val="Heading3"/>
        <w:rPr>
          <w:rFonts w:eastAsia="Times New Roman"/>
        </w:rPr>
        <w:sectPr w:rsidR="00AE766E" w:rsidSect="00AE766E">
          <w:pgSz w:w="16838" w:h="11906" w:orient="landscape"/>
          <w:pgMar w:top="720" w:right="720" w:bottom="720" w:left="1134" w:header="709" w:footer="284" w:gutter="0"/>
          <w:cols w:space="708"/>
          <w:titlePg/>
          <w:docGrid w:linePitch="360"/>
        </w:sectPr>
      </w:pPr>
    </w:p>
    <w:p w:rsidR="00E874B4" w:rsidRDefault="00E874B4">
      <w:pPr>
        <w:pStyle w:val="Heading3"/>
        <w:rPr>
          <w:rFonts w:eastAsia="Times New Roman"/>
        </w:rPr>
      </w:pPr>
      <w:r>
        <w:rPr>
          <w:rFonts w:eastAsia="Times New Roman"/>
        </w:rPr>
        <w:lastRenderedPageBreak/>
        <w:t xml:space="preserve">Genotypes identified in samples from individuals &gt;5 years of age </w:t>
      </w:r>
    </w:p>
    <w:p w:rsidR="00E874B4" w:rsidRDefault="00E874B4" w:rsidP="004A60F4">
      <w:r>
        <w:t xml:space="preserve">A total of 565 rotavirus samples were collected from children &gt;5 years, adults, and patients with an unknown age (n=76) (Table 5). As with the ≤5 years of age group, </w:t>
      </w:r>
      <w:proofErr w:type="gramStart"/>
      <w:r>
        <w:t>G2P[</w:t>
      </w:r>
      <w:proofErr w:type="gramEnd"/>
      <w:r>
        <w:t xml:space="preserve">4] was the main genotype identified (44%), followed by equine-like G3P[8] (22%) and G8P[8] (17%). </w:t>
      </w:r>
    </w:p>
    <w:p w:rsidR="006E419B" w:rsidRDefault="006E419B">
      <w:pPr>
        <w:pStyle w:val="NormalWeb"/>
        <w:rPr>
          <w:rStyle w:val="Strong"/>
        </w:rPr>
        <w:sectPr w:rsidR="006E419B" w:rsidSect="00A30C37">
          <w:pgSz w:w="11906" w:h="16838"/>
          <w:pgMar w:top="720" w:right="720" w:bottom="1134" w:left="720" w:header="709" w:footer="284" w:gutter="0"/>
          <w:cols w:space="708"/>
          <w:titlePg/>
          <w:docGrid w:linePitch="360"/>
        </w:sectPr>
      </w:pPr>
    </w:p>
    <w:p w:rsidR="00E874B4" w:rsidRDefault="00E874B4">
      <w:pPr>
        <w:pStyle w:val="NormalWeb"/>
      </w:pPr>
      <w:r>
        <w:rPr>
          <w:rStyle w:val="Strong"/>
        </w:rPr>
        <w:lastRenderedPageBreak/>
        <w:t>Table 5: Rotavirus G- and P- genotype distribution in children &gt;5 years of age and adults, 1 January to 31 December 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describes the 2017 genotype distribution of rotavirus positive samples in children &gt;5 years of age, adults, and patients with unknown age. Of 565 samples, 44% were G2P[4], while the second and third most common genotypes found were equine-like G3P[8] (22%) and G8P[8] (17%)."/>
      </w:tblPr>
      <w:tblGrid>
        <w:gridCol w:w="1777"/>
        <w:gridCol w:w="556"/>
        <w:gridCol w:w="687"/>
        <w:gridCol w:w="688"/>
        <w:gridCol w:w="688"/>
        <w:gridCol w:w="687"/>
        <w:gridCol w:w="688"/>
        <w:gridCol w:w="688"/>
        <w:gridCol w:w="688"/>
        <w:gridCol w:w="687"/>
        <w:gridCol w:w="688"/>
        <w:gridCol w:w="688"/>
        <w:gridCol w:w="687"/>
        <w:gridCol w:w="688"/>
        <w:gridCol w:w="688"/>
        <w:gridCol w:w="688"/>
        <w:gridCol w:w="687"/>
        <w:gridCol w:w="688"/>
        <w:gridCol w:w="688"/>
        <w:gridCol w:w="688"/>
      </w:tblGrid>
      <w:tr w:rsidR="00C04E9E" w:rsidRPr="00C04E9E" w:rsidTr="00C45E6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rsidR="00E874B4" w:rsidRPr="00C04E9E" w:rsidRDefault="00E874B4">
            <w:pPr>
              <w:rPr>
                <w:rFonts w:eastAsia="Times New Roman"/>
                <w:color w:val="FFFFFF" w:themeColor="background1"/>
              </w:rPr>
            </w:pPr>
            <w:r w:rsidRPr="00C04E9E">
              <w:rPr>
                <w:rFonts w:eastAsia="Times New Roman"/>
                <w:color w:val="FFFFFF" w:themeColor="background1"/>
              </w:rPr>
              <w:t>Centre</w:t>
            </w:r>
          </w:p>
        </w:tc>
        <w:tc>
          <w:tcPr>
            <w:tcW w:w="0" w:type="auto"/>
            <w:vMerge w:val="restart"/>
            <w:hideMark/>
          </w:tcPr>
          <w:p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Type</w:t>
            </w:r>
            <w:r w:rsidRPr="00C04E9E">
              <w:rPr>
                <w:rFonts w:eastAsia="Times New Roman"/>
                <w:color w:val="FFFFFF" w:themeColor="background1"/>
              </w:rPr>
              <w:br/>
              <w:t>total</w:t>
            </w:r>
          </w:p>
        </w:tc>
        <w:tc>
          <w:tcPr>
            <w:tcW w:w="1375" w:type="dxa"/>
            <w:gridSpan w:val="2"/>
            <w:hideMark/>
          </w:tcPr>
          <w:p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G1P[8]</w:t>
            </w:r>
          </w:p>
        </w:tc>
        <w:tc>
          <w:tcPr>
            <w:tcW w:w="1375" w:type="dxa"/>
            <w:gridSpan w:val="2"/>
            <w:hideMark/>
          </w:tcPr>
          <w:p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G2P[4]</w:t>
            </w:r>
          </w:p>
        </w:tc>
        <w:tc>
          <w:tcPr>
            <w:tcW w:w="1376" w:type="dxa"/>
            <w:gridSpan w:val="2"/>
            <w:hideMark/>
          </w:tcPr>
          <w:p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G3P[8]</w:t>
            </w:r>
          </w:p>
        </w:tc>
        <w:tc>
          <w:tcPr>
            <w:tcW w:w="1375" w:type="dxa"/>
            <w:gridSpan w:val="2"/>
            <w:hideMark/>
          </w:tcPr>
          <w:p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G3P[8]</w:t>
            </w:r>
            <w:r w:rsidRPr="00C04E9E">
              <w:rPr>
                <w:rFonts w:eastAsia="Times New Roman"/>
                <w:color w:val="FFFFFF" w:themeColor="background1"/>
                <w:vertAlign w:val="superscript"/>
              </w:rPr>
              <w:t>a</w:t>
            </w:r>
          </w:p>
        </w:tc>
        <w:tc>
          <w:tcPr>
            <w:tcW w:w="1376" w:type="dxa"/>
            <w:gridSpan w:val="2"/>
            <w:hideMark/>
          </w:tcPr>
          <w:p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G8P[8]</w:t>
            </w:r>
          </w:p>
        </w:tc>
        <w:tc>
          <w:tcPr>
            <w:tcW w:w="1375" w:type="dxa"/>
            <w:gridSpan w:val="2"/>
            <w:hideMark/>
          </w:tcPr>
          <w:p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G9P[8]</w:t>
            </w:r>
          </w:p>
        </w:tc>
        <w:tc>
          <w:tcPr>
            <w:tcW w:w="1376" w:type="dxa"/>
            <w:gridSpan w:val="2"/>
            <w:hideMark/>
          </w:tcPr>
          <w:p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G12P[8]</w:t>
            </w:r>
          </w:p>
        </w:tc>
        <w:tc>
          <w:tcPr>
            <w:tcW w:w="1375" w:type="dxa"/>
            <w:gridSpan w:val="2"/>
            <w:hideMark/>
          </w:tcPr>
          <w:p w:rsidR="00E874B4" w:rsidRPr="00C04E9E" w:rsidRDefault="00E874B4" w:rsidP="004339FD">
            <w:pPr>
              <w:jc w:val="center"/>
              <w:rPr>
                <w:rFonts w:eastAsia="Times New Roman"/>
                <w:color w:val="FFFFFF" w:themeColor="background1"/>
              </w:rPr>
            </w:pPr>
            <w:proofErr w:type="spellStart"/>
            <w:r w:rsidRPr="00C04E9E">
              <w:rPr>
                <w:rFonts w:eastAsia="Times New Roman"/>
                <w:color w:val="FFFFFF" w:themeColor="background1"/>
              </w:rPr>
              <w:t>Other</w:t>
            </w:r>
            <w:r w:rsidRPr="00C04E9E">
              <w:rPr>
                <w:rFonts w:eastAsia="Times New Roman"/>
                <w:color w:val="FFFFFF" w:themeColor="background1"/>
                <w:vertAlign w:val="superscript"/>
              </w:rPr>
              <w:t>b</w:t>
            </w:r>
            <w:proofErr w:type="spellEnd"/>
          </w:p>
        </w:tc>
        <w:tc>
          <w:tcPr>
            <w:tcW w:w="1376" w:type="dxa"/>
            <w:gridSpan w:val="2"/>
            <w:hideMark/>
          </w:tcPr>
          <w:p w:rsidR="00E874B4" w:rsidRPr="00C04E9E" w:rsidRDefault="00E874B4" w:rsidP="004339FD">
            <w:pPr>
              <w:jc w:val="center"/>
              <w:rPr>
                <w:rFonts w:eastAsia="Times New Roman"/>
                <w:color w:val="FFFFFF" w:themeColor="background1"/>
              </w:rPr>
            </w:pPr>
            <w:r w:rsidRPr="00C04E9E">
              <w:rPr>
                <w:rFonts w:eastAsia="Times New Roman"/>
                <w:color w:val="FFFFFF" w:themeColor="background1"/>
              </w:rPr>
              <w:t>Non-</w:t>
            </w:r>
            <w:proofErr w:type="spellStart"/>
            <w:r w:rsidRPr="00C04E9E">
              <w:rPr>
                <w:rFonts w:eastAsia="Times New Roman"/>
                <w:color w:val="FFFFFF" w:themeColor="background1"/>
              </w:rPr>
              <w:t>type</w:t>
            </w:r>
            <w:r w:rsidRPr="00C04E9E">
              <w:rPr>
                <w:rFonts w:eastAsia="Times New Roman"/>
                <w:color w:val="FFFFFF" w:themeColor="background1"/>
                <w:vertAlign w:val="superscript"/>
              </w:rPr>
              <w:t>c</w:t>
            </w:r>
            <w:proofErr w:type="spellEnd"/>
          </w:p>
        </w:tc>
      </w:tr>
      <w:tr w:rsidR="00116D65" w:rsidTr="00C45E6B">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rsidR="00E874B4" w:rsidRDefault="00E874B4">
            <w:pPr>
              <w:rPr>
                <w:rFonts w:eastAsia="Times New Roman"/>
                <w:sz w:val="24"/>
                <w:szCs w:val="24"/>
              </w:rPr>
            </w:pPr>
          </w:p>
        </w:tc>
        <w:tc>
          <w:tcPr>
            <w:tcW w:w="0" w:type="auto"/>
            <w:vMerge/>
            <w:hideMark/>
          </w:tcPr>
          <w:p w:rsidR="00E874B4" w:rsidRDefault="00E874B4" w:rsidP="004339FD">
            <w:pPr>
              <w:jc w:val="center"/>
              <w:rPr>
                <w:rFonts w:eastAsia="Times New Roman"/>
                <w:sz w:val="24"/>
                <w:szCs w:val="24"/>
              </w:rPr>
            </w:pP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n</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n</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n</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n</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n</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n</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n</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n</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n</w:t>
            </w:r>
          </w:p>
        </w:tc>
      </w:tr>
      <w:tr w:rsidR="00116D65" w:rsidTr="00AB0FE3">
        <w:tc>
          <w:tcPr>
            <w:tcW w:w="0" w:type="auto"/>
            <w:shd w:val="clear" w:color="auto" w:fill="FFFFFF" w:themeFill="background1"/>
            <w:hideMark/>
          </w:tcPr>
          <w:p w:rsidR="00E874B4" w:rsidRDefault="00E874B4">
            <w:pPr>
              <w:rPr>
                <w:rFonts w:eastAsia="Times New Roman"/>
              </w:rPr>
            </w:pPr>
            <w:r>
              <w:rPr>
                <w:rFonts w:eastAsia="Times New Roman"/>
              </w:rPr>
              <w:t>ACT</w:t>
            </w:r>
          </w:p>
        </w:tc>
        <w:tc>
          <w:tcPr>
            <w:tcW w:w="0" w:type="auto"/>
            <w:shd w:val="clear" w:color="auto" w:fill="FFFFFF" w:themeFill="background1"/>
            <w:hideMark/>
          </w:tcPr>
          <w:p w:rsidR="00E874B4" w:rsidRDefault="00E874B4" w:rsidP="004339FD">
            <w:pPr>
              <w:jc w:val="center"/>
              <w:rPr>
                <w:rFonts w:eastAsia="Times New Roman"/>
              </w:rPr>
            </w:pPr>
            <w:r>
              <w:rPr>
                <w:rFonts w:eastAsia="Times New Roman"/>
              </w:rPr>
              <w:t>3</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67</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2</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33</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r>
      <w:tr w:rsidR="00116D65" w:rsidTr="00AB0FE3">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rsidR="00E874B4" w:rsidRDefault="00E874B4">
            <w:pPr>
              <w:rPr>
                <w:rFonts w:eastAsia="Times New Roman"/>
              </w:rPr>
            </w:pPr>
            <w:r>
              <w:rPr>
                <w:rFonts w:eastAsia="Times New Roman"/>
              </w:rPr>
              <w:t>New South Wales</w:t>
            </w:r>
          </w:p>
        </w:tc>
        <w:tc>
          <w:tcPr>
            <w:tcW w:w="0" w:type="auto"/>
            <w:shd w:val="clear" w:color="auto" w:fill="FFFFFF" w:themeFill="background1"/>
            <w:hideMark/>
          </w:tcPr>
          <w:p w:rsidR="00E874B4" w:rsidRDefault="00E874B4" w:rsidP="004339FD">
            <w:pPr>
              <w:jc w:val="center"/>
              <w:rPr>
                <w:rFonts w:eastAsia="Times New Roman"/>
              </w:rPr>
            </w:pPr>
            <w:r>
              <w:rPr>
                <w:rFonts w:eastAsia="Times New Roman"/>
              </w:rPr>
              <w:t>198</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1</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2</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8</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16</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8</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15</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46</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92</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29</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58</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4</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7</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1</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3</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5</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1</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2</w:t>
            </w:r>
          </w:p>
        </w:tc>
      </w:tr>
      <w:tr w:rsidR="00116D65" w:rsidTr="00AB0FE3">
        <w:tc>
          <w:tcPr>
            <w:tcW w:w="0" w:type="auto"/>
            <w:shd w:val="clear" w:color="auto" w:fill="FFFFFF" w:themeFill="background1"/>
            <w:hideMark/>
          </w:tcPr>
          <w:p w:rsidR="00E874B4" w:rsidRDefault="00E874B4">
            <w:pPr>
              <w:rPr>
                <w:rFonts w:eastAsia="Times New Roman"/>
              </w:rPr>
            </w:pPr>
            <w:r>
              <w:rPr>
                <w:rFonts w:eastAsia="Times New Roman"/>
              </w:rPr>
              <w:t>Northern Territory</w:t>
            </w:r>
          </w:p>
        </w:tc>
        <w:tc>
          <w:tcPr>
            <w:tcW w:w="0" w:type="auto"/>
            <w:shd w:val="clear" w:color="auto" w:fill="FFFFFF" w:themeFill="background1"/>
            <w:hideMark/>
          </w:tcPr>
          <w:p w:rsidR="00E874B4" w:rsidRDefault="00E874B4" w:rsidP="004339FD">
            <w:pPr>
              <w:jc w:val="center"/>
              <w:rPr>
                <w:rFonts w:eastAsia="Times New Roman"/>
              </w:rPr>
            </w:pPr>
            <w:r>
              <w:rPr>
                <w:rFonts w:eastAsia="Times New Roman"/>
              </w:rPr>
              <w:t>81</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100</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81</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r>
      <w:tr w:rsidR="00116D65" w:rsidTr="00AB0FE3">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rsidR="00E874B4" w:rsidRDefault="00E874B4">
            <w:pPr>
              <w:rPr>
                <w:rFonts w:eastAsia="Times New Roman"/>
              </w:rPr>
            </w:pPr>
            <w:r>
              <w:rPr>
                <w:rFonts w:eastAsia="Times New Roman"/>
              </w:rPr>
              <w:t>Queensland</w:t>
            </w:r>
          </w:p>
        </w:tc>
        <w:tc>
          <w:tcPr>
            <w:tcW w:w="0" w:type="auto"/>
            <w:shd w:val="clear" w:color="auto" w:fill="FFFFFF" w:themeFill="background1"/>
            <w:hideMark/>
          </w:tcPr>
          <w:p w:rsidR="00E874B4" w:rsidRDefault="00E874B4" w:rsidP="004339FD">
            <w:pPr>
              <w:jc w:val="center"/>
              <w:rPr>
                <w:rFonts w:eastAsia="Times New Roman"/>
              </w:rPr>
            </w:pPr>
            <w:r>
              <w:rPr>
                <w:rFonts w:eastAsia="Times New Roman"/>
              </w:rPr>
              <w:t>24</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4</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21</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5</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17</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4</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13</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3</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21</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5</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4</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21</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5</w:t>
            </w:r>
          </w:p>
        </w:tc>
      </w:tr>
      <w:tr w:rsidR="00116D65" w:rsidTr="00AB0FE3">
        <w:tc>
          <w:tcPr>
            <w:tcW w:w="0" w:type="auto"/>
            <w:shd w:val="clear" w:color="auto" w:fill="FFFFFF" w:themeFill="background1"/>
            <w:hideMark/>
          </w:tcPr>
          <w:p w:rsidR="00E874B4" w:rsidRDefault="00E874B4">
            <w:pPr>
              <w:rPr>
                <w:rFonts w:eastAsia="Times New Roman"/>
              </w:rPr>
            </w:pPr>
            <w:r>
              <w:rPr>
                <w:rFonts w:eastAsia="Times New Roman"/>
              </w:rPr>
              <w:t>South Australia</w:t>
            </w:r>
          </w:p>
        </w:tc>
        <w:tc>
          <w:tcPr>
            <w:tcW w:w="0" w:type="auto"/>
            <w:shd w:val="clear" w:color="auto" w:fill="FFFFFF" w:themeFill="background1"/>
            <w:hideMark/>
          </w:tcPr>
          <w:p w:rsidR="00E874B4" w:rsidRDefault="00E874B4" w:rsidP="004339FD">
            <w:pPr>
              <w:jc w:val="center"/>
              <w:rPr>
                <w:rFonts w:eastAsia="Times New Roman"/>
              </w:rPr>
            </w:pPr>
            <w:r>
              <w:rPr>
                <w:rFonts w:eastAsia="Times New Roman"/>
              </w:rPr>
              <w:t>82</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1</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70</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57</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12</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4</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3</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5</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4</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1</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5</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4</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2</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2</w:t>
            </w:r>
          </w:p>
        </w:tc>
      </w:tr>
      <w:tr w:rsidR="00116D65" w:rsidTr="00AB0FE3">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rsidR="00E874B4" w:rsidRDefault="00E874B4">
            <w:pPr>
              <w:rPr>
                <w:rFonts w:eastAsia="Times New Roman"/>
              </w:rPr>
            </w:pPr>
            <w:r>
              <w:rPr>
                <w:rFonts w:eastAsia="Times New Roman"/>
              </w:rPr>
              <w:t>Tasmania</w:t>
            </w:r>
          </w:p>
        </w:tc>
        <w:tc>
          <w:tcPr>
            <w:tcW w:w="0" w:type="auto"/>
            <w:shd w:val="clear" w:color="auto" w:fill="FFFFFF" w:themeFill="background1"/>
            <w:hideMark/>
          </w:tcPr>
          <w:p w:rsidR="00E874B4" w:rsidRDefault="00E874B4" w:rsidP="004339FD">
            <w:pPr>
              <w:jc w:val="center"/>
              <w:rPr>
                <w:rFonts w:eastAsia="Times New Roman"/>
              </w:rPr>
            </w:pPr>
            <w:r>
              <w:rPr>
                <w:rFonts w:eastAsia="Times New Roman"/>
              </w:rPr>
              <w:t>43</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2</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47</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20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2</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44</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19</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5</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2</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r>
      <w:tr w:rsidR="00116D65" w:rsidTr="00AB0FE3">
        <w:tc>
          <w:tcPr>
            <w:tcW w:w="0" w:type="auto"/>
            <w:shd w:val="clear" w:color="auto" w:fill="FFFFFF" w:themeFill="background1"/>
            <w:hideMark/>
          </w:tcPr>
          <w:p w:rsidR="00E874B4" w:rsidRDefault="00E874B4">
            <w:pPr>
              <w:rPr>
                <w:rFonts w:eastAsia="Times New Roman"/>
              </w:rPr>
            </w:pPr>
            <w:r>
              <w:rPr>
                <w:rFonts w:eastAsia="Times New Roman"/>
              </w:rPr>
              <w:t>Victoria</w:t>
            </w:r>
          </w:p>
        </w:tc>
        <w:tc>
          <w:tcPr>
            <w:tcW w:w="0" w:type="auto"/>
            <w:shd w:val="clear" w:color="auto" w:fill="FFFFFF" w:themeFill="background1"/>
            <w:hideMark/>
          </w:tcPr>
          <w:p w:rsidR="00E874B4" w:rsidRDefault="00E874B4" w:rsidP="004339FD">
            <w:pPr>
              <w:jc w:val="center"/>
              <w:rPr>
                <w:rFonts w:eastAsia="Times New Roman"/>
              </w:rPr>
            </w:pPr>
            <w:r>
              <w:rPr>
                <w:rFonts w:eastAsia="Times New Roman"/>
              </w:rPr>
              <w:t>28</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4</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7</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2</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4</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14</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4</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39</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11</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4</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14</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4</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11</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3</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4</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w:t>
            </w:r>
          </w:p>
        </w:tc>
      </w:tr>
      <w:tr w:rsidR="00116D65" w:rsidTr="00AB0FE3">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rsidR="00E874B4" w:rsidRDefault="00E874B4">
            <w:pPr>
              <w:rPr>
                <w:rFonts w:eastAsia="Times New Roman"/>
              </w:rPr>
            </w:pPr>
            <w:r>
              <w:rPr>
                <w:rFonts w:eastAsia="Times New Roman"/>
              </w:rPr>
              <w:t>Western Australia</w:t>
            </w:r>
          </w:p>
        </w:tc>
        <w:tc>
          <w:tcPr>
            <w:tcW w:w="0" w:type="auto"/>
            <w:shd w:val="clear" w:color="auto" w:fill="FFFFFF" w:themeFill="background1"/>
            <w:hideMark/>
          </w:tcPr>
          <w:p w:rsidR="00E874B4" w:rsidRDefault="00E874B4" w:rsidP="004339FD">
            <w:pPr>
              <w:jc w:val="center"/>
              <w:rPr>
                <w:rFonts w:eastAsia="Times New Roman"/>
              </w:rPr>
            </w:pPr>
            <w:r>
              <w:rPr>
                <w:rFonts w:eastAsia="Times New Roman"/>
              </w:rPr>
              <w:t>106</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66</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70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9</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5</w:t>
            </w:r>
          </w:p>
        </w:tc>
        <w:tc>
          <w:tcPr>
            <w:tcW w:w="687" w:type="dxa"/>
            <w:shd w:val="clear" w:color="auto" w:fill="FFFFFF" w:themeFill="background1"/>
            <w:hideMark/>
          </w:tcPr>
          <w:p w:rsidR="00E874B4" w:rsidRDefault="00E874B4" w:rsidP="004339FD">
            <w:pPr>
              <w:jc w:val="center"/>
              <w:rPr>
                <w:rFonts w:eastAsia="Times New Roman"/>
              </w:rPr>
            </w:pPr>
            <w:r>
              <w:rPr>
                <w:rFonts w:eastAsia="Times New Roman"/>
              </w:rPr>
              <w:t>5</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18</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19</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1</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1</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1</w:t>
            </w:r>
          </w:p>
        </w:tc>
        <w:tc>
          <w:tcPr>
            <w:tcW w:w="687"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c>
          <w:tcPr>
            <w:tcW w:w="688" w:type="dxa"/>
            <w:shd w:val="clear" w:color="auto" w:fill="DBE5F1" w:themeFill="accent1" w:themeFillTint="33"/>
            <w:hideMark/>
          </w:tcPr>
          <w:p w:rsidR="00E874B4" w:rsidRDefault="00E874B4" w:rsidP="004339FD">
            <w:pPr>
              <w:jc w:val="center"/>
              <w:rPr>
                <w:rFonts w:eastAsia="Times New Roman"/>
              </w:rPr>
            </w:pPr>
            <w:r>
              <w:rPr>
                <w:rFonts w:eastAsia="Times New Roman"/>
              </w:rPr>
              <w:t>-</w:t>
            </w:r>
          </w:p>
        </w:tc>
        <w:tc>
          <w:tcPr>
            <w:tcW w:w="688" w:type="dxa"/>
            <w:shd w:val="clear" w:color="auto" w:fill="FFFFFF" w:themeFill="background1"/>
            <w:hideMark/>
          </w:tcPr>
          <w:p w:rsidR="00E874B4" w:rsidRDefault="00E874B4" w:rsidP="004339FD">
            <w:pPr>
              <w:jc w:val="center"/>
              <w:rPr>
                <w:rFonts w:eastAsia="Times New Roman"/>
              </w:rPr>
            </w:pPr>
            <w:r>
              <w:rPr>
                <w:rFonts w:eastAsia="Times New Roman"/>
              </w:rPr>
              <w:t>0</w:t>
            </w:r>
          </w:p>
        </w:tc>
      </w:tr>
      <w:tr w:rsidR="00116D65" w:rsidRPr="00600C85" w:rsidTr="004339FD">
        <w:tc>
          <w:tcPr>
            <w:tcW w:w="0" w:type="auto"/>
            <w:shd w:val="clear" w:color="auto" w:fill="FDE9D9" w:themeFill="accent6" w:themeFillTint="33"/>
            <w:hideMark/>
          </w:tcPr>
          <w:p w:rsidR="00E874B4" w:rsidRPr="00600C85" w:rsidRDefault="00E874B4">
            <w:pPr>
              <w:rPr>
                <w:rFonts w:eastAsia="Times New Roman"/>
                <w:b/>
              </w:rPr>
            </w:pPr>
            <w:r w:rsidRPr="00600C85">
              <w:rPr>
                <w:rFonts w:eastAsia="Times New Roman"/>
                <w:b/>
              </w:rPr>
              <w:t>Total</w:t>
            </w:r>
          </w:p>
        </w:tc>
        <w:tc>
          <w:tcPr>
            <w:tcW w:w="0" w:type="auto"/>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565</w:t>
            </w:r>
          </w:p>
        </w:tc>
        <w:tc>
          <w:tcPr>
            <w:tcW w:w="687"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1</w:t>
            </w:r>
          </w:p>
        </w:tc>
        <w:tc>
          <w:tcPr>
            <w:tcW w:w="688"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6</w:t>
            </w:r>
          </w:p>
        </w:tc>
        <w:tc>
          <w:tcPr>
            <w:tcW w:w="688"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44</w:t>
            </w:r>
          </w:p>
        </w:tc>
        <w:tc>
          <w:tcPr>
            <w:tcW w:w="687"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251</w:t>
            </w:r>
          </w:p>
        </w:tc>
        <w:tc>
          <w:tcPr>
            <w:tcW w:w="688"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7</w:t>
            </w:r>
          </w:p>
        </w:tc>
        <w:tc>
          <w:tcPr>
            <w:tcW w:w="688"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41</w:t>
            </w:r>
          </w:p>
        </w:tc>
        <w:tc>
          <w:tcPr>
            <w:tcW w:w="688"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22</w:t>
            </w:r>
          </w:p>
        </w:tc>
        <w:tc>
          <w:tcPr>
            <w:tcW w:w="687"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125</w:t>
            </w:r>
          </w:p>
        </w:tc>
        <w:tc>
          <w:tcPr>
            <w:tcW w:w="688"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17</w:t>
            </w:r>
          </w:p>
        </w:tc>
        <w:tc>
          <w:tcPr>
            <w:tcW w:w="688"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96</w:t>
            </w:r>
          </w:p>
        </w:tc>
        <w:tc>
          <w:tcPr>
            <w:tcW w:w="687"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3</w:t>
            </w:r>
          </w:p>
        </w:tc>
        <w:tc>
          <w:tcPr>
            <w:tcW w:w="688"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15</w:t>
            </w:r>
          </w:p>
        </w:tc>
        <w:tc>
          <w:tcPr>
            <w:tcW w:w="688"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1</w:t>
            </w:r>
          </w:p>
        </w:tc>
        <w:tc>
          <w:tcPr>
            <w:tcW w:w="688"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6</w:t>
            </w:r>
          </w:p>
        </w:tc>
        <w:tc>
          <w:tcPr>
            <w:tcW w:w="687"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3</w:t>
            </w:r>
          </w:p>
        </w:tc>
        <w:tc>
          <w:tcPr>
            <w:tcW w:w="688"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15</w:t>
            </w:r>
          </w:p>
        </w:tc>
        <w:tc>
          <w:tcPr>
            <w:tcW w:w="688"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2</w:t>
            </w:r>
          </w:p>
        </w:tc>
        <w:tc>
          <w:tcPr>
            <w:tcW w:w="688" w:type="dxa"/>
            <w:shd w:val="clear" w:color="auto" w:fill="FDE9D9" w:themeFill="accent6" w:themeFillTint="33"/>
            <w:hideMark/>
          </w:tcPr>
          <w:p w:rsidR="00E874B4" w:rsidRPr="00600C85" w:rsidRDefault="00E874B4" w:rsidP="004339FD">
            <w:pPr>
              <w:jc w:val="center"/>
              <w:rPr>
                <w:rFonts w:eastAsia="Times New Roman"/>
                <w:b/>
              </w:rPr>
            </w:pPr>
            <w:r w:rsidRPr="00600C85">
              <w:rPr>
                <w:rFonts w:eastAsia="Times New Roman"/>
                <w:b/>
              </w:rPr>
              <w:t>10</w:t>
            </w:r>
          </w:p>
        </w:tc>
      </w:tr>
    </w:tbl>
    <w:p w:rsidR="00E874B4" w:rsidRDefault="00600C85" w:rsidP="00580372">
      <w:pPr>
        <w:pStyle w:val="CDIfootnotes"/>
      </w:pPr>
      <w:proofErr w:type="spellStart"/>
      <w:proofErr w:type="gramStart"/>
      <w:r>
        <w:t>a</w:t>
      </w:r>
      <w:proofErr w:type="spellEnd"/>
      <w:proofErr w:type="gramEnd"/>
      <w:r>
        <w:tab/>
      </w:r>
      <w:r w:rsidR="00E874B4">
        <w:t>Equine-like G3P[8]</w:t>
      </w:r>
      <w:r w:rsidR="003401D7">
        <w:br/>
      </w:r>
      <w:r>
        <w:t>b</w:t>
      </w:r>
      <w:r>
        <w:tab/>
      </w:r>
      <w:r w:rsidR="00E874B4">
        <w:t>See Table 3</w:t>
      </w:r>
      <w:r w:rsidR="003401D7">
        <w:br/>
      </w:r>
      <w:r>
        <w:t>c</w:t>
      </w:r>
      <w:r>
        <w:tab/>
      </w:r>
      <w:r w:rsidR="00E874B4">
        <w:t>A specimen where G- and/or P- genotype was not determined</w:t>
      </w:r>
    </w:p>
    <w:p w:rsidR="00E874B4" w:rsidRDefault="00E874B4">
      <w:pPr>
        <w:pStyle w:val="NormalWeb"/>
      </w:pPr>
      <w:r>
        <w:t> </w:t>
      </w:r>
    </w:p>
    <w:p w:rsidR="006E419B" w:rsidRDefault="006E419B">
      <w:pPr>
        <w:pStyle w:val="Heading3"/>
        <w:rPr>
          <w:rFonts w:eastAsia="Times New Roman"/>
        </w:rPr>
        <w:sectPr w:rsidR="006E419B" w:rsidSect="006E419B">
          <w:pgSz w:w="16838" w:h="11906" w:orient="landscape"/>
          <w:pgMar w:top="720" w:right="720" w:bottom="720" w:left="1134" w:header="709" w:footer="284" w:gutter="0"/>
          <w:cols w:space="708"/>
          <w:titlePg/>
          <w:docGrid w:linePitch="360"/>
        </w:sectPr>
      </w:pPr>
    </w:p>
    <w:p w:rsidR="00E874B4" w:rsidRDefault="00E874B4">
      <w:pPr>
        <w:pStyle w:val="Heading3"/>
        <w:rPr>
          <w:rFonts w:eastAsia="Times New Roman"/>
        </w:rPr>
      </w:pPr>
      <w:r>
        <w:rPr>
          <w:rFonts w:eastAsia="Times New Roman"/>
        </w:rPr>
        <w:lastRenderedPageBreak/>
        <w:t xml:space="preserve">Distribution of genotypes according to vaccine tendered in children ≤5 years of age </w:t>
      </w:r>
    </w:p>
    <w:p w:rsidR="00E874B4" w:rsidRDefault="00E874B4" w:rsidP="004A60F4">
      <w:r>
        <w:t xml:space="preserve">G- </w:t>
      </w:r>
      <w:proofErr w:type="gramStart"/>
      <w:r>
        <w:t>and</w:t>
      </w:r>
      <w:proofErr w:type="gramEnd"/>
      <w:r>
        <w:t xml:space="preserve"> P- genotypes of the 449 </w:t>
      </w:r>
      <w:proofErr w:type="spellStart"/>
      <w:r>
        <w:t>wildtype</w:t>
      </w:r>
      <w:proofErr w:type="spellEnd"/>
      <w:r>
        <w:t xml:space="preserve"> rotavirus samples were divided according to vaccine use (Figure 3). In states where </w:t>
      </w:r>
      <w:proofErr w:type="spellStart"/>
      <w:r>
        <w:t>RotaTeq</w:t>
      </w:r>
      <w:proofErr w:type="spellEnd"/>
      <w:r>
        <w:t xml:space="preserve"> was in use, </w:t>
      </w:r>
      <w:proofErr w:type="gramStart"/>
      <w:r>
        <w:t>G2P[</w:t>
      </w:r>
      <w:proofErr w:type="gramEnd"/>
      <w:r>
        <w:t xml:space="preserve">4] was the dominant strain overall, representing 46%, compared to 18% in </w:t>
      </w:r>
      <w:proofErr w:type="spellStart"/>
      <w:r>
        <w:t>Rotarix</w:t>
      </w:r>
      <w:proofErr w:type="spellEnd"/>
      <w:r>
        <w:t xml:space="preserve"> states/territories. </w:t>
      </w:r>
      <w:proofErr w:type="gramStart"/>
      <w:r>
        <w:t>G8P[</w:t>
      </w:r>
      <w:proofErr w:type="gramEnd"/>
      <w:r>
        <w:t xml:space="preserve">8] was the second most common genotype identified, representing 16% of all genotypes identified in </w:t>
      </w:r>
      <w:proofErr w:type="spellStart"/>
      <w:r>
        <w:t>RotaTeq</w:t>
      </w:r>
      <w:proofErr w:type="spellEnd"/>
      <w:r>
        <w:t xml:space="preserve"> states. However, in states and territories that used </w:t>
      </w:r>
      <w:proofErr w:type="spellStart"/>
      <w:r>
        <w:t>Rotarix</w:t>
      </w:r>
      <w:proofErr w:type="spellEnd"/>
      <w:r>
        <w:t xml:space="preserve">, Equine-like </w:t>
      </w:r>
      <w:proofErr w:type="gramStart"/>
      <w:r>
        <w:t>G3P[</w:t>
      </w:r>
      <w:proofErr w:type="gramEnd"/>
      <w:r>
        <w:t xml:space="preserve">8] was the dominant strain, representing 54%, compared to 5% in </w:t>
      </w:r>
      <w:proofErr w:type="spellStart"/>
      <w:r>
        <w:t>RotaTeq</w:t>
      </w:r>
      <w:proofErr w:type="spellEnd"/>
      <w:r>
        <w:t xml:space="preserve"> states (Figure 3). </w:t>
      </w:r>
    </w:p>
    <w:p w:rsidR="00AB5CA9" w:rsidRDefault="00AB5CA9">
      <w:pPr>
        <w:rPr>
          <w:rStyle w:val="Strong"/>
        </w:rPr>
      </w:pPr>
      <w:r>
        <w:rPr>
          <w:rStyle w:val="Strong"/>
        </w:rPr>
        <w:br w:type="page"/>
      </w:r>
    </w:p>
    <w:p w:rsidR="00E874B4" w:rsidRDefault="00E874B4">
      <w:pPr>
        <w:pStyle w:val="NormalWeb"/>
      </w:pPr>
      <w:r>
        <w:rPr>
          <w:rStyle w:val="Strong"/>
        </w:rPr>
        <w:lastRenderedPageBreak/>
        <w:t xml:space="preserve">Figure 3: Overall distribution of </w:t>
      </w:r>
      <w:proofErr w:type="spellStart"/>
      <w:r>
        <w:rPr>
          <w:rStyle w:val="Strong"/>
        </w:rPr>
        <w:t>wildtype</w:t>
      </w:r>
      <w:proofErr w:type="spellEnd"/>
      <w:r>
        <w:rPr>
          <w:rStyle w:val="Strong"/>
        </w:rPr>
        <w:t xml:space="preserve"> rotavirus G- and P- genotypes identified in Australian children ≤5 years of age, based on vaccine </w:t>
      </w:r>
      <w:proofErr w:type="spellStart"/>
      <w:r>
        <w:rPr>
          <w:rStyle w:val="Strong"/>
        </w:rPr>
        <w:t>use</w:t>
      </w:r>
      <w:r w:rsidRPr="00066E7A">
        <w:rPr>
          <w:rStyle w:val="Strong"/>
          <w:vertAlign w:val="superscript"/>
        </w:rPr>
        <w:t>a</w:t>
      </w:r>
      <w:proofErr w:type="spellEnd"/>
      <w:r>
        <w:rPr>
          <w:rStyle w:val="Strong"/>
        </w:rPr>
        <w:t>, Australia, 1 January to 31 December 2017</w:t>
      </w:r>
    </w:p>
    <w:p w:rsidR="00B303E3" w:rsidRDefault="00B303E3" w:rsidP="004B2231">
      <w:pPr>
        <w:pStyle w:val="CDIFigures"/>
        <w:rPr>
          <w:lang w:val="en-US"/>
        </w:rPr>
      </w:pPr>
      <w:proofErr w:type="spellStart"/>
      <w:r>
        <w:rPr>
          <w:lang w:val="en-US"/>
        </w:rPr>
        <w:t>RotaTeq</w:t>
      </w:r>
      <w:r>
        <w:rPr>
          <w:rStyle w:val="superscript"/>
          <w:lang w:val="en-US"/>
        </w:rPr>
        <w:t>a</w:t>
      </w:r>
      <w:proofErr w:type="spellEnd"/>
      <w:r>
        <w:rPr>
          <w:lang w:val="en-US"/>
        </w:rPr>
        <w:t xml:space="preserve"> states</w:t>
      </w:r>
    </w:p>
    <w:p w:rsidR="00E874B4" w:rsidRDefault="00E874B4" w:rsidP="00B43E71">
      <w:pPr>
        <w:pStyle w:val="NormalWeb"/>
        <w:jc w:val="center"/>
      </w:pPr>
      <w:r>
        <w:rPr>
          <w:noProof/>
        </w:rPr>
        <w:drawing>
          <wp:inline distT="0" distB="0" distL="0" distR="0" wp14:anchorId="57DAA9B5" wp14:editId="7AAD6542">
            <wp:extent cx="3086100" cy="3161693"/>
            <wp:effectExtent l="0" t="0" r="0" b="635"/>
            <wp:docPr id="3" name="Picture 3" descr="Figure 3 demonstrates differences in genotype distribution based on vaccine usage in children ≤5 years of age. RotaTeq is administered in Queensland, South Australia, Victoria and Western Australia (A); while Rotarix is used in The Australian Capital Territory, New South Wales, and the Northern Territory (B). In locations using RotaTeq, the dominant strains identified were G2P[4] (46%) and G8P[8] (16%). Conversely, the dominant strains in Rotarix States and Territories was equine-like G3P[8] (54%) and G8P[8], representing 15% of all genotypes identifi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demonstrates differences in genotype distribution based on vaccine usage in children ≤5 years of age. RotaTeq is administered in Queensland, South Australia, Victoria and Western Australia (A); while Rotarix is used in The Australian Capital Territory, New South Wales, and the Northern Territory (B). In locations using RotaTeq, the dominant strains identified were G2P[4] (46%) and G8P[8] (16%). Conversely, the dominant strains in Rotarix States and Territories was equine-like G3P[8] (54%) and G8P[8], representing 15% of all genotypes identifi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18"/>
                    <a:stretch/>
                  </pic:blipFill>
                  <pic:spPr bwMode="auto">
                    <a:xfrm>
                      <a:off x="0" y="0"/>
                      <a:ext cx="3092588" cy="3168340"/>
                    </a:xfrm>
                    <a:prstGeom prst="rect">
                      <a:avLst/>
                    </a:prstGeom>
                    <a:noFill/>
                    <a:ln>
                      <a:noFill/>
                    </a:ln>
                    <a:extLst>
                      <a:ext uri="{53640926-AAD7-44D8-BBD7-CCE9431645EC}">
                        <a14:shadowObscured xmlns:a14="http://schemas.microsoft.com/office/drawing/2010/main"/>
                      </a:ext>
                    </a:extLst>
                  </pic:spPr>
                </pic:pic>
              </a:graphicData>
            </a:graphic>
          </wp:inline>
        </w:drawing>
      </w:r>
    </w:p>
    <w:p w:rsidR="004B2231" w:rsidRPr="004B2231" w:rsidRDefault="004B2231" w:rsidP="004B2231">
      <w:pPr>
        <w:tabs>
          <w:tab w:val="left" w:pos="1040"/>
        </w:tabs>
        <w:suppressAutoHyphens/>
        <w:autoSpaceDE w:val="0"/>
        <w:autoSpaceDN w:val="0"/>
        <w:adjustRightInd w:val="0"/>
        <w:spacing w:after="240" w:line="288" w:lineRule="auto"/>
        <w:textAlignment w:val="baseline"/>
        <w:rPr>
          <w:rFonts w:ascii="Minion Pro SmBd" w:hAnsi="Minion Pro SmBd" w:cs="Minion Pro SmBd"/>
          <w:color w:val="000000"/>
          <w:sz w:val="24"/>
          <w:szCs w:val="24"/>
          <w:lang w:val="en-US"/>
        </w:rPr>
      </w:pPr>
      <w:proofErr w:type="spellStart"/>
      <w:r w:rsidRPr="004B2231">
        <w:rPr>
          <w:rFonts w:ascii="Minion Pro SmBd" w:hAnsi="Minion Pro SmBd" w:cs="Minion Pro SmBd"/>
          <w:color w:val="000000"/>
          <w:sz w:val="24"/>
          <w:szCs w:val="24"/>
          <w:lang w:val="en-US"/>
        </w:rPr>
        <w:t>Rotarix</w:t>
      </w:r>
      <w:proofErr w:type="spellEnd"/>
      <w:r w:rsidRPr="004B2231">
        <w:rPr>
          <w:rFonts w:ascii="Minion Pro SmBd" w:hAnsi="Minion Pro SmBd" w:cs="Minion Pro SmBd"/>
          <w:color w:val="000000"/>
          <w:sz w:val="24"/>
          <w:szCs w:val="24"/>
          <w:lang w:val="en-US"/>
        </w:rPr>
        <w:t xml:space="preserve"> states and territories</w:t>
      </w:r>
    </w:p>
    <w:p w:rsidR="004B2231" w:rsidRDefault="004B2231" w:rsidP="004B2231">
      <w:pPr>
        <w:pStyle w:val="CDIfootnotes"/>
        <w:jc w:val="center"/>
      </w:pPr>
      <w:r>
        <w:rPr>
          <w:noProof/>
        </w:rPr>
        <w:drawing>
          <wp:inline distT="0" distB="0" distL="0" distR="0" wp14:anchorId="1B622DED" wp14:editId="2088A136">
            <wp:extent cx="3286125" cy="3438499"/>
            <wp:effectExtent l="0" t="0" r="0" b="0"/>
            <wp:docPr id="7" name="Picture 7" descr="Figure 3 demonstrates differences in genotype distribution based on vaccine usage in children ≤5 years of age. RotaTeq is administered in Queensland, South Australia, Victoria and Western Australia (A); while Rotarix is used in The Australian Capital Territory, New South Wales, and the Northern Territory (B). In locations using RotaTeq, the dominant strains identified were G2P[4] (46%) and G8P[8] (16%). Conversely, the dominant strains in Rotarix States and Territories was equine-like G3P[8] (54%) and G8P[8], representing 15% of all genotypes iden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3b compact.jpg"/>
                    <pic:cNvPicPr/>
                  </pic:nvPicPr>
                  <pic:blipFill rotWithShape="1">
                    <a:blip r:embed="rId15" cstate="print">
                      <a:extLst>
                        <a:ext uri="{28A0092B-C50C-407E-A947-70E740481C1C}">
                          <a14:useLocalDpi xmlns:a14="http://schemas.microsoft.com/office/drawing/2010/main" val="0"/>
                        </a:ext>
                      </a:extLst>
                    </a:blip>
                    <a:srcRect r="3864"/>
                    <a:stretch/>
                  </pic:blipFill>
                  <pic:spPr bwMode="auto">
                    <a:xfrm>
                      <a:off x="0" y="0"/>
                      <a:ext cx="3293552" cy="3446270"/>
                    </a:xfrm>
                    <a:prstGeom prst="rect">
                      <a:avLst/>
                    </a:prstGeom>
                    <a:ln>
                      <a:noFill/>
                    </a:ln>
                    <a:extLst>
                      <a:ext uri="{53640926-AAD7-44D8-BBD7-CCE9431645EC}">
                        <a14:shadowObscured xmlns:a14="http://schemas.microsoft.com/office/drawing/2010/main"/>
                      </a:ext>
                    </a:extLst>
                  </pic:spPr>
                </pic:pic>
              </a:graphicData>
            </a:graphic>
          </wp:inline>
        </w:drawing>
      </w:r>
    </w:p>
    <w:p w:rsidR="00B863DD" w:rsidRDefault="00B43E71" w:rsidP="00B863DD">
      <w:pPr>
        <w:pStyle w:val="CDIfootnotes"/>
      </w:pPr>
      <w:proofErr w:type="gramStart"/>
      <w:r>
        <w:t>a</w:t>
      </w:r>
      <w:proofErr w:type="gramEnd"/>
      <w:r>
        <w:tab/>
      </w:r>
      <w:r w:rsidR="00E874B4">
        <w:t xml:space="preserve">Australian NIP changed to </w:t>
      </w:r>
      <w:proofErr w:type="spellStart"/>
      <w:r w:rsidR="00E874B4">
        <w:t>Rotarix</w:t>
      </w:r>
      <w:proofErr w:type="spellEnd"/>
      <w:r w:rsidR="00E874B4">
        <w:t xml:space="preserve"> exclusively on 1 July, 2017</w:t>
      </w:r>
    </w:p>
    <w:p w:rsidR="00B863DD" w:rsidRDefault="00B863DD" w:rsidP="00B863DD">
      <w:pPr>
        <w:rPr>
          <w:sz w:val="18"/>
        </w:rPr>
      </w:pPr>
      <w:r>
        <w:br w:type="page"/>
      </w:r>
    </w:p>
    <w:p w:rsidR="00E874B4" w:rsidRDefault="00E874B4" w:rsidP="00B863DD">
      <w:pPr>
        <w:pStyle w:val="CDIfootnotes"/>
      </w:pPr>
    </w:p>
    <w:p w:rsidR="00E874B4" w:rsidRDefault="00E874B4" w:rsidP="004A60F4">
      <w:r>
        <w:t xml:space="preserve">On 1 July 2017, </w:t>
      </w:r>
      <w:proofErr w:type="spellStart"/>
      <w:r>
        <w:t>Rotarix</w:t>
      </w:r>
      <w:proofErr w:type="spellEnd"/>
      <w:r>
        <w:t xml:space="preserve"> replaced </w:t>
      </w:r>
      <w:proofErr w:type="spellStart"/>
      <w:r>
        <w:t>RotaTeq</w:t>
      </w:r>
      <w:proofErr w:type="spellEnd"/>
      <w:r>
        <w:t xml:space="preserve"> in WA, Vic, SA, and Qld. After 1 July 2017, all states and territories of Australia exclusively used </w:t>
      </w:r>
      <w:proofErr w:type="spellStart"/>
      <w:r>
        <w:t>Rotarix</w:t>
      </w:r>
      <w:proofErr w:type="spellEnd"/>
      <w:r>
        <w:t xml:space="preserve"> vaccine against rotavirus under the NIP. To identify if the change in vaccination schedule could have had an impact on genotype distribution, further analysis based on date of collection was performed (Figure 4). Although samples were not able to be analysed for the full 6 months after the change from </w:t>
      </w:r>
      <w:proofErr w:type="spellStart"/>
      <w:r>
        <w:t>RotaTeq</w:t>
      </w:r>
      <w:proofErr w:type="spellEnd"/>
      <w:r>
        <w:t xml:space="preserve"> to </w:t>
      </w:r>
      <w:proofErr w:type="spellStart"/>
      <w:r>
        <w:t>Rotarix</w:t>
      </w:r>
      <w:proofErr w:type="spellEnd"/>
      <w:r>
        <w:t xml:space="preserve"> in all four states affected (Queensland, SA, Victoria, and WA) there was a good representation of data from Victoria and WA. In addition, no samples were received from NT for the period of 1 Jun – 31 Dec, therefore data presented in this report for this period is limited to ACT, NSW, and Tasmania for the states and territories that administered </w:t>
      </w:r>
      <w:proofErr w:type="spellStart"/>
      <w:r>
        <w:t>Rotarix</w:t>
      </w:r>
      <w:proofErr w:type="spellEnd"/>
      <w:r>
        <w:t xml:space="preserve"> in the NIP for the full 12 months in 2017. In states where </w:t>
      </w:r>
      <w:proofErr w:type="spellStart"/>
      <w:r>
        <w:t>RotaTeq</w:t>
      </w:r>
      <w:proofErr w:type="spellEnd"/>
      <w:r>
        <w:t xml:space="preserve"> was in use from Jan to Jun, 2017, </w:t>
      </w:r>
      <w:proofErr w:type="gramStart"/>
      <w:r>
        <w:t>G2P[</w:t>
      </w:r>
      <w:proofErr w:type="gramEnd"/>
      <w:r>
        <w:t xml:space="preserve">4] strains were the dominant genotype in children ≤5 years, identified in 63% of samples, however after the change to </w:t>
      </w:r>
      <w:proofErr w:type="spellStart"/>
      <w:r>
        <w:t>Rotarix</w:t>
      </w:r>
      <w:proofErr w:type="spellEnd"/>
      <w:r>
        <w:t xml:space="preserve"> in July, G2P[4] reduced to 16% (Jul–Dec 2017). However, a similar decrease in </w:t>
      </w:r>
      <w:proofErr w:type="gramStart"/>
      <w:r>
        <w:t>G2P[</w:t>
      </w:r>
      <w:proofErr w:type="gramEnd"/>
      <w:r>
        <w:t xml:space="preserve">4] strains was observed in jurisdictions that used </w:t>
      </w:r>
      <w:proofErr w:type="spellStart"/>
      <w:r>
        <w:t>Rotarix</w:t>
      </w:r>
      <w:proofErr w:type="spellEnd"/>
      <w:r>
        <w:t xml:space="preserve"> for the whole year, from 56% for the period of Jan–Jun, to 7% in Jul–Dec. In the states that used </w:t>
      </w:r>
      <w:proofErr w:type="spellStart"/>
      <w:r>
        <w:t>Rotarix</w:t>
      </w:r>
      <w:proofErr w:type="spellEnd"/>
      <w:r>
        <w:t xml:space="preserve"> for the full 12 months in 2017, the decrease in </w:t>
      </w:r>
      <w:proofErr w:type="gramStart"/>
      <w:r>
        <w:t>G2P[</w:t>
      </w:r>
      <w:proofErr w:type="gramEnd"/>
      <w:r>
        <w:t xml:space="preserve">8] strains coincided with an increase of equine-like G3P[8], from 23% (Jan–Jun) to 62% (Jul–Dec). In contrast, equine-like </w:t>
      </w:r>
      <w:proofErr w:type="gramStart"/>
      <w:r>
        <w:t>G3P[</w:t>
      </w:r>
      <w:proofErr w:type="gramEnd"/>
      <w:r>
        <w:t xml:space="preserve">8] maintained low levels of circulation (≤6%) between Jan–Jun and Jul–Dec in states that changed vaccines in July. An increase in </w:t>
      </w:r>
      <w:proofErr w:type="gramStart"/>
      <w:r>
        <w:t>G8P[</w:t>
      </w:r>
      <w:proofErr w:type="gramEnd"/>
      <w:r>
        <w:t xml:space="preserve">8] strains was observed in all states and territories irrespective of vaccine used, from ≤4% in Jan–Jun, to 39% and 18% in Jul–Dec respectively (Figure 4). </w:t>
      </w:r>
    </w:p>
    <w:p w:rsidR="00EC61DE" w:rsidRDefault="00EC61DE">
      <w:pPr>
        <w:pStyle w:val="NormalWeb"/>
        <w:rPr>
          <w:rStyle w:val="Strong"/>
        </w:rPr>
        <w:sectPr w:rsidR="00EC61DE" w:rsidSect="00A30C37">
          <w:pgSz w:w="11906" w:h="16838"/>
          <w:pgMar w:top="720" w:right="720" w:bottom="1134" w:left="720" w:header="709" w:footer="284" w:gutter="0"/>
          <w:cols w:space="708"/>
          <w:titlePg/>
          <w:docGrid w:linePitch="360"/>
        </w:sectPr>
      </w:pPr>
    </w:p>
    <w:p w:rsidR="00E874B4" w:rsidRDefault="00E874B4">
      <w:pPr>
        <w:pStyle w:val="NormalWeb"/>
      </w:pPr>
      <w:r>
        <w:rPr>
          <w:rStyle w:val="Strong"/>
        </w:rPr>
        <w:lastRenderedPageBreak/>
        <w:t xml:space="preserve">Figure 4: Overall distribution of </w:t>
      </w:r>
      <w:proofErr w:type="spellStart"/>
      <w:r>
        <w:rPr>
          <w:rStyle w:val="Strong"/>
        </w:rPr>
        <w:t>wildtype</w:t>
      </w:r>
      <w:proofErr w:type="spellEnd"/>
      <w:r>
        <w:rPr>
          <w:rStyle w:val="Strong"/>
        </w:rPr>
        <w:t xml:space="preserve"> rotavirus G- and P- genotypes identified in Australian children ≤5 years of age, based on vaccine usage, Australia, 1 January to June, and 1 July to 31 December, 2017</w:t>
      </w:r>
    </w:p>
    <w:p w:rsidR="00E874B4" w:rsidRDefault="00E874B4">
      <w:pPr>
        <w:pStyle w:val="NormalWeb"/>
      </w:pPr>
      <w:r>
        <w:rPr>
          <w:b/>
          <w:bCs/>
          <w:noProof/>
        </w:rPr>
        <w:drawing>
          <wp:inline distT="0" distB="0" distL="0" distR="0" wp14:anchorId="6A49967C" wp14:editId="241EFA86">
            <wp:extent cx="6943725" cy="4678598"/>
            <wp:effectExtent l="0" t="0" r="0" b="8255"/>
            <wp:docPr id="5" name="Picture 5" descr="Figure 4 demonstrates differences in genotype distribution based on vaccine usage in children ≤5 years of age. After 1 July 2017, all States and Territories of Australia exclusively used Rotarix vaccine against rotavirus under the NIP. To identify if the change in vaccination schedule could have had an impact on genotype distribution, further analysis based on date of collection was performed. In States where RotaTeq was in use from Jan-Jun, 2017, G2P[4] strains were the dominant genotype in children ≤5 years, identified in 63% of samples, however after change in vaccination to Rotarix, G2P[4] reduced to 16% (Jul-Dec 2017). G2P[4] also decreased in jurisdictions that used Rotarix for the whole year, from 56% for the period of Jan-Jun, to 7% in Jul-Dec. This decrease in the Rotarix group coincided with an increase of equine-like G3P[8], from 23% (Jan-Jun) to 62% (Jul-Dec). An increase in G8P[8] strains was observed in both RotaTeq and Rotarix groups, from &lt;4% in Jan-Jun, to 39% and 18% in Jul-Dec respectively. Note: No samples were processed after August in RotaTeq States QLD and SA. The majority of RotaTeq samples are represented by WA and Vic, for which complete year analysis has been performed. Northern Territory (Rotarix) represents data from Jan – May, as no samples after May 2017 were received for this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taging\CDESS\ZoFE\CDI\Desktopping\OpenCDI\OpenCDI-2019\20 -S-Roczo-Farkas - Australian Rotavirus Surveillance Program Annual Report, 2017\v2\MS-Word output\tables-web-resources\image\f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70475" cy="4696622"/>
                    </a:xfrm>
                    <a:prstGeom prst="rect">
                      <a:avLst/>
                    </a:prstGeom>
                    <a:noFill/>
                    <a:ln>
                      <a:noFill/>
                    </a:ln>
                  </pic:spPr>
                </pic:pic>
              </a:graphicData>
            </a:graphic>
          </wp:inline>
        </w:drawing>
      </w:r>
    </w:p>
    <w:p w:rsidR="002026DE" w:rsidRDefault="002026DE" w:rsidP="002D453C">
      <w:pPr>
        <w:pStyle w:val="CDIfootnotes"/>
      </w:pPr>
      <w:proofErr w:type="gramStart"/>
      <w:r>
        <w:t>a</w:t>
      </w:r>
      <w:proofErr w:type="gramEnd"/>
      <w:r>
        <w:tab/>
        <w:t xml:space="preserve">NIP across Australia changed to </w:t>
      </w:r>
      <w:proofErr w:type="spellStart"/>
      <w:r>
        <w:t>Rotarix</w:t>
      </w:r>
      <w:proofErr w:type="spellEnd"/>
      <w:r>
        <w:t xml:space="preserve"> exclusively from 1st July, 2017.</w:t>
      </w:r>
    </w:p>
    <w:p w:rsidR="002026DE" w:rsidRPr="002D453C" w:rsidRDefault="002026DE" w:rsidP="002D453C">
      <w:pPr>
        <w:pStyle w:val="CDIfootnotes"/>
        <w:sectPr w:rsidR="002026DE" w:rsidRPr="002D453C" w:rsidSect="00876459">
          <w:pgSz w:w="16838" w:h="11906" w:orient="landscape"/>
          <w:pgMar w:top="720" w:right="720" w:bottom="720" w:left="1134" w:header="709" w:footer="284" w:gutter="0"/>
          <w:cols w:space="708"/>
          <w:titlePg/>
          <w:docGrid w:linePitch="360"/>
        </w:sectPr>
      </w:pPr>
      <w:r>
        <w:t>Note:</w:t>
      </w:r>
      <w:r>
        <w:tab/>
        <w:t xml:space="preserve">No samples have been processed after August in </w:t>
      </w:r>
      <w:proofErr w:type="spellStart"/>
      <w:r>
        <w:t>RotaTeq</w:t>
      </w:r>
      <w:proofErr w:type="spellEnd"/>
      <w:r>
        <w:t xml:space="preserve"> states Qld and SA. The majority of </w:t>
      </w:r>
      <w:proofErr w:type="spellStart"/>
      <w:r>
        <w:t>RotaTeq</w:t>
      </w:r>
      <w:proofErr w:type="spellEnd"/>
      <w:r>
        <w:t xml:space="preserve"> samples are represented by WA and Victoria, for which complete year analysis has been performed. Northern Territory represents data from Jan–May, as no samples after May 2017 were received for this reporting period.</w:t>
      </w:r>
    </w:p>
    <w:p w:rsidR="00E874B4" w:rsidRDefault="00E874B4">
      <w:pPr>
        <w:pStyle w:val="Heading2"/>
        <w:rPr>
          <w:rFonts w:eastAsia="Times New Roman"/>
        </w:rPr>
      </w:pPr>
      <w:r>
        <w:rPr>
          <w:rFonts w:eastAsia="Times New Roman"/>
        </w:rPr>
        <w:lastRenderedPageBreak/>
        <w:t xml:space="preserve">Vaccine-like rotavirus specimens: </w:t>
      </w:r>
    </w:p>
    <w:p w:rsidR="00E874B4" w:rsidRDefault="00E874B4">
      <w:pPr>
        <w:pStyle w:val="Heading3"/>
        <w:rPr>
          <w:rFonts w:eastAsia="Times New Roman"/>
        </w:rPr>
      </w:pPr>
      <w:r>
        <w:rPr>
          <w:rFonts w:eastAsia="Times New Roman"/>
        </w:rPr>
        <w:t xml:space="preserve">Age distribution for rotavirus vaccine cases </w:t>
      </w:r>
    </w:p>
    <w:p w:rsidR="00E874B4" w:rsidRDefault="00E874B4" w:rsidP="004A60F4">
      <w:r>
        <w:t xml:space="preserve">During the 2017 reporting period, 89 samples were identified as rotavirus vaccine by VP6 and/or VP7 sequencing. 97.8% of these were from the 0–6 months of age group, while 2.2% were from 7–12 month old patients. </w:t>
      </w:r>
    </w:p>
    <w:p w:rsidR="00E874B4" w:rsidRDefault="00E874B4">
      <w:pPr>
        <w:pStyle w:val="Heading3"/>
        <w:rPr>
          <w:rFonts w:eastAsia="Times New Roman"/>
        </w:rPr>
      </w:pPr>
      <w:r>
        <w:rPr>
          <w:rFonts w:eastAsia="Times New Roman"/>
        </w:rPr>
        <w:t xml:space="preserve">Genotype distribution of specimens containing rotavirus vaccine component </w:t>
      </w:r>
    </w:p>
    <w:p w:rsidR="00E874B4" w:rsidRDefault="00E874B4" w:rsidP="004A60F4">
      <w:r>
        <w:t xml:space="preserve">The 89 samples that had sequence confirmation of vaccine-like VP6 and/or VP7 were processed further for genotype analysis (Table 6). All samples identified as </w:t>
      </w:r>
      <w:proofErr w:type="spellStart"/>
      <w:r>
        <w:t>Rotarix</w:t>
      </w:r>
      <w:proofErr w:type="spellEnd"/>
      <w:r>
        <w:t xml:space="preserve"> (n=33) were genotyped as </w:t>
      </w:r>
      <w:proofErr w:type="gramStart"/>
      <w:r>
        <w:t>G1P[</w:t>
      </w:r>
      <w:proofErr w:type="gramEnd"/>
      <w:r>
        <w:t xml:space="preserve">8], while </w:t>
      </w:r>
      <w:proofErr w:type="spellStart"/>
      <w:r>
        <w:t>RotaTeq</w:t>
      </w:r>
      <w:proofErr w:type="spellEnd"/>
      <w:r>
        <w:t xml:space="preserve"> samples (n=56) had more varied genotype combinations, due to the pentavalent nature of the vaccine. Single genotypes were identified in 49 samples, including G1, G4, and G6 with either a </w:t>
      </w:r>
      <w:proofErr w:type="gramStart"/>
      <w:r>
        <w:t>P[</w:t>
      </w:r>
      <w:proofErr w:type="gramEnd"/>
      <w:r>
        <w:t>8] or P non-</w:t>
      </w:r>
      <w:proofErr w:type="spellStart"/>
      <w:r>
        <w:t>typeable</w:t>
      </w:r>
      <w:proofErr w:type="spellEnd"/>
      <w:r>
        <w:t xml:space="preserve"> (P[</w:t>
      </w:r>
      <w:proofErr w:type="spellStart"/>
      <w:r>
        <w:t>nt</w:t>
      </w:r>
      <w:proofErr w:type="spellEnd"/>
      <w:r>
        <w:t xml:space="preserve">]). Note that G6 samples had to be sequence-confirmed, as primers for this bovine vaccine component are not included in the routine G-typing primer mix. Other combinations included various mixed G-types that contained two to three of all human virus components (G1, G3, and G4) of the </w:t>
      </w:r>
      <w:proofErr w:type="spellStart"/>
      <w:r>
        <w:t>RotaTeq</w:t>
      </w:r>
      <w:proofErr w:type="spellEnd"/>
      <w:r>
        <w:t xml:space="preserve"> vaccine, with either </w:t>
      </w:r>
      <w:proofErr w:type="gramStart"/>
      <w:r>
        <w:t>P[</w:t>
      </w:r>
      <w:proofErr w:type="gramEnd"/>
      <w:r>
        <w:t>8] or P[</w:t>
      </w:r>
      <w:proofErr w:type="spellStart"/>
      <w:r>
        <w:t>nt</w:t>
      </w:r>
      <w:proofErr w:type="spellEnd"/>
      <w:r>
        <w:t>]. Fully non-</w:t>
      </w:r>
      <w:proofErr w:type="spellStart"/>
      <w:r>
        <w:t>typeable</w:t>
      </w:r>
      <w:proofErr w:type="spellEnd"/>
      <w:r>
        <w:t xml:space="preserve"> genotype results were attributed to 4 samples. </w:t>
      </w:r>
    </w:p>
    <w:p w:rsidR="00AB5CA9" w:rsidRDefault="00AB5CA9">
      <w:pPr>
        <w:rPr>
          <w:rStyle w:val="Strong"/>
          <w:bCs w:val="0"/>
        </w:rPr>
      </w:pPr>
      <w:r>
        <w:rPr>
          <w:rStyle w:val="Strong"/>
          <w:b w:val="0"/>
          <w:bCs w:val="0"/>
        </w:rPr>
        <w:br w:type="page"/>
      </w:r>
    </w:p>
    <w:p w:rsidR="00E874B4" w:rsidRPr="000200FA" w:rsidRDefault="00E874B4" w:rsidP="000200FA">
      <w:pPr>
        <w:pStyle w:val="CDIFigures"/>
      </w:pPr>
      <w:r w:rsidRPr="000200FA">
        <w:rPr>
          <w:rStyle w:val="Strong"/>
          <w:b/>
          <w:bCs w:val="0"/>
        </w:rPr>
        <w:lastRenderedPageBreak/>
        <w:t>Table 6: Rotavirus G- and P- genotypes identified in rotavirus vaccine-like cases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describes the genotype distribution of rotavirus positive samples from 2017, which had a vaccine-component identified. In total, 33 samples were identified as having a Rotarix-like VP7, and were genotyped as G1P[8]. Samples identified as RotaTeq-like, either by VP6 and/or VP7 sequencing, were genotyped (n=56). The majority of RotaTeq-like samples were identified as G1, with either P[8] or P non-typeable, or displayed a mixed genotype, due to the pentavalent nature of the RotaTeq vaccine."/>
      </w:tblPr>
      <w:tblGrid>
        <w:gridCol w:w="2610"/>
        <w:gridCol w:w="1926"/>
        <w:gridCol w:w="1347"/>
        <w:gridCol w:w="1347"/>
      </w:tblGrid>
      <w:tr w:rsidR="00AB5CA9" w:rsidRPr="00AB5CA9" w:rsidTr="00B8172A">
        <w:trPr>
          <w:cnfStyle w:val="100000000000" w:firstRow="1" w:lastRow="0" w:firstColumn="0" w:lastColumn="0" w:oddVBand="0" w:evenVBand="0" w:oddHBand="0" w:evenHBand="0" w:firstRowFirstColumn="0" w:firstRowLastColumn="0" w:lastRowFirstColumn="0" w:lastRowLastColumn="0"/>
          <w:tblHeader/>
        </w:trPr>
        <w:tc>
          <w:tcPr>
            <w:tcW w:w="2610" w:type="dxa"/>
            <w:hideMark/>
          </w:tcPr>
          <w:p w:rsidR="00E874B4" w:rsidRPr="00AF52CD" w:rsidRDefault="00E874B4">
            <w:pPr>
              <w:rPr>
                <w:color w:val="FFFFFF" w:themeColor="background1"/>
              </w:rPr>
            </w:pPr>
          </w:p>
        </w:tc>
        <w:tc>
          <w:tcPr>
            <w:tcW w:w="1926" w:type="dxa"/>
            <w:tcBorders>
              <w:right w:val="single" w:sz="4" w:space="0" w:color="auto"/>
            </w:tcBorders>
            <w:hideMark/>
          </w:tcPr>
          <w:p w:rsidR="00E874B4" w:rsidRPr="00AB5CA9" w:rsidRDefault="00E874B4" w:rsidP="00467ADA">
            <w:pPr>
              <w:rPr>
                <w:rFonts w:eastAsia="Times New Roman"/>
                <w:color w:val="FFFFFF" w:themeColor="background1"/>
                <w:sz w:val="20"/>
                <w:szCs w:val="20"/>
              </w:rPr>
            </w:pPr>
          </w:p>
        </w:tc>
        <w:tc>
          <w:tcPr>
            <w:tcW w:w="1347" w:type="dxa"/>
            <w:tcBorders>
              <w:left w:val="single" w:sz="4" w:space="0" w:color="auto"/>
            </w:tcBorders>
            <w:hideMark/>
          </w:tcPr>
          <w:p w:rsidR="00E874B4" w:rsidRPr="00AB5CA9" w:rsidRDefault="00E874B4" w:rsidP="00C14EE3">
            <w:pPr>
              <w:jc w:val="center"/>
              <w:rPr>
                <w:rFonts w:eastAsia="Times New Roman"/>
                <w:color w:val="FFFFFF" w:themeColor="background1"/>
                <w:sz w:val="24"/>
                <w:szCs w:val="24"/>
              </w:rPr>
            </w:pPr>
            <w:r w:rsidRPr="00AB5CA9">
              <w:rPr>
                <w:rFonts w:eastAsia="Times New Roman"/>
                <w:color w:val="FFFFFF" w:themeColor="background1"/>
              </w:rPr>
              <w:t>P[8]</w:t>
            </w:r>
          </w:p>
        </w:tc>
        <w:tc>
          <w:tcPr>
            <w:tcW w:w="1347" w:type="dxa"/>
            <w:hideMark/>
          </w:tcPr>
          <w:p w:rsidR="00E874B4" w:rsidRPr="00AB5CA9" w:rsidRDefault="00E874B4" w:rsidP="00C14EE3">
            <w:pPr>
              <w:jc w:val="center"/>
              <w:rPr>
                <w:rFonts w:eastAsia="Times New Roman"/>
                <w:color w:val="FFFFFF" w:themeColor="background1"/>
              </w:rPr>
            </w:pPr>
            <w:r w:rsidRPr="00AB5CA9">
              <w:rPr>
                <w:rFonts w:eastAsia="Times New Roman"/>
                <w:color w:val="FFFFFF" w:themeColor="background1"/>
              </w:rPr>
              <w:t>P[</w:t>
            </w:r>
            <w:proofErr w:type="spellStart"/>
            <w:r w:rsidRPr="00AB5CA9">
              <w:rPr>
                <w:rFonts w:eastAsia="Times New Roman"/>
                <w:color w:val="FFFFFF" w:themeColor="background1"/>
              </w:rPr>
              <w:t>nt</w:t>
            </w:r>
            <w:proofErr w:type="spellEnd"/>
            <w:r w:rsidRPr="00AB5CA9">
              <w:rPr>
                <w:rFonts w:eastAsia="Times New Roman"/>
                <w:color w:val="FFFFFF" w:themeColor="background1"/>
              </w:rPr>
              <w:t>]</w:t>
            </w:r>
          </w:p>
        </w:tc>
      </w:tr>
      <w:tr w:rsidR="00E874B4" w:rsidTr="00AF52CD">
        <w:tc>
          <w:tcPr>
            <w:tcW w:w="2610" w:type="dxa"/>
            <w:tcBorders>
              <w:bottom w:val="single" w:sz="4" w:space="0" w:color="auto"/>
            </w:tcBorders>
            <w:shd w:val="clear" w:color="auto" w:fill="404040" w:themeFill="text1" w:themeFillTint="BF"/>
            <w:hideMark/>
          </w:tcPr>
          <w:p w:rsidR="00E874B4" w:rsidRPr="00AF52CD" w:rsidRDefault="00E874B4">
            <w:pPr>
              <w:rPr>
                <w:rFonts w:eastAsia="Times New Roman"/>
                <w:b/>
                <w:color w:val="FFFFFF" w:themeColor="background1"/>
              </w:rPr>
            </w:pPr>
            <w:proofErr w:type="spellStart"/>
            <w:r w:rsidRPr="00AF52CD">
              <w:rPr>
                <w:rFonts w:eastAsia="Times New Roman"/>
                <w:b/>
                <w:color w:val="FFFFFF" w:themeColor="background1"/>
              </w:rPr>
              <w:t>Rotarix</w:t>
            </w:r>
            <w:proofErr w:type="spellEnd"/>
          </w:p>
        </w:tc>
        <w:tc>
          <w:tcPr>
            <w:tcW w:w="1926" w:type="dxa"/>
            <w:tcBorders>
              <w:bottom w:val="single" w:sz="4" w:space="0" w:color="auto"/>
              <w:right w:val="single" w:sz="4" w:space="0" w:color="auto"/>
            </w:tcBorders>
            <w:hideMark/>
          </w:tcPr>
          <w:p w:rsidR="00E874B4" w:rsidRDefault="00E874B4" w:rsidP="00467ADA">
            <w:pPr>
              <w:rPr>
                <w:rFonts w:eastAsia="Times New Roman"/>
              </w:rPr>
            </w:pPr>
            <w:r>
              <w:rPr>
                <w:rFonts w:eastAsia="Times New Roman"/>
              </w:rPr>
              <w:t>G1 (Rix)</w:t>
            </w:r>
          </w:p>
        </w:tc>
        <w:tc>
          <w:tcPr>
            <w:tcW w:w="1347" w:type="dxa"/>
            <w:tcBorders>
              <w:left w:val="single" w:sz="4" w:space="0" w:color="auto"/>
              <w:bottom w:val="single" w:sz="4" w:space="0" w:color="auto"/>
            </w:tcBorders>
            <w:hideMark/>
          </w:tcPr>
          <w:p w:rsidR="00E874B4" w:rsidRDefault="00E874B4" w:rsidP="00C14EE3">
            <w:pPr>
              <w:jc w:val="center"/>
              <w:rPr>
                <w:rFonts w:eastAsia="Times New Roman"/>
              </w:rPr>
            </w:pPr>
            <w:r>
              <w:rPr>
                <w:rFonts w:eastAsia="Times New Roman"/>
              </w:rPr>
              <w:t>33</w:t>
            </w:r>
          </w:p>
        </w:tc>
        <w:tc>
          <w:tcPr>
            <w:tcW w:w="1347" w:type="dxa"/>
            <w:tcBorders>
              <w:bottom w:val="single" w:sz="4" w:space="0" w:color="auto"/>
            </w:tcBorders>
            <w:hideMark/>
          </w:tcPr>
          <w:p w:rsidR="00E874B4" w:rsidRDefault="00E874B4" w:rsidP="00C14EE3">
            <w:pPr>
              <w:jc w:val="center"/>
              <w:rPr>
                <w:rFonts w:eastAsia="Times New Roman"/>
              </w:rPr>
            </w:pPr>
            <w:r>
              <w:rPr>
                <w:rFonts w:eastAsia="Times New Roman"/>
              </w:rPr>
              <w:t>-</w:t>
            </w:r>
          </w:p>
        </w:tc>
      </w:tr>
      <w:tr w:rsidR="00E874B4" w:rsidTr="00AF52CD">
        <w:trPr>
          <w:cnfStyle w:val="000000010000" w:firstRow="0" w:lastRow="0" w:firstColumn="0" w:lastColumn="0" w:oddVBand="0" w:evenVBand="0" w:oddHBand="0" w:evenHBand="1" w:firstRowFirstColumn="0" w:firstRowLastColumn="0" w:lastRowFirstColumn="0" w:lastRowLastColumn="0"/>
        </w:trPr>
        <w:tc>
          <w:tcPr>
            <w:tcW w:w="2610" w:type="dxa"/>
            <w:vMerge w:val="restart"/>
            <w:tcBorders>
              <w:top w:val="single" w:sz="4" w:space="0" w:color="auto"/>
            </w:tcBorders>
            <w:shd w:val="clear" w:color="auto" w:fill="404040" w:themeFill="text1" w:themeFillTint="BF"/>
            <w:vAlign w:val="center"/>
            <w:hideMark/>
          </w:tcPr>
          <w:p w:rsidR="00E874B4" w:rsidRPr="00AF52CD" w:rsidRDefault="00E874B4" w:rsidP="00E41988">
            <w:pPr>
              <w:rPr>
                <w:rFonts w:eastAsia="Times New Roman"/>
                <w:b/>
                <w:color w:val="FFFFFF" w:themeColor="background1"/>
              </w:rPr>
            </w:pPr>
            <w:proofErr w:type="spellStart"/>
            <w:r w:rsidRPr="00AF52CD">
              <w:rPr>
                <w:rFonts w:eastAsia="Times New Roman"/>
                <w:b/>
                <w:color w:val="FFFFFF" w:themeColor="background1"/>
              </w:rPr>
              <w:t>RotaTeq</w:t>
            </w:r>
            <w:proofErr w:type="spellEnd"/>
          </w:p>
        </w:tc>
        <w:tc>
          <w:tcPr>
            <w:tcW w:w="1926" w:type="dxa"/>
            <w:tcBorders>
              <w:top w:val="single" w:sz="4" w:space="0" w:color="auto"/>
              <w:right w:val="single" w:sz="4" w:space="0" w:color="auto"/>
            </w:tcBorders>
            <w:shd w:val="clear" w:color="auto" w:fill="FFFFFF" w:themeFill="background1"/>
            <w:hideMark/>
          </w:tcPr>
          <w:p w:rsidR="00E874B4" w:rsidRDefault="00E874B4" w:rsidP="00467ADA">
            <w:pPr>
              <w:rPr>
                <w:rFonts w:eastAsia="Times New Roman"/>
              </w:rPr>
            </w:pPr>
            <w:r>
              <w:rPr>
                <w:rFonts w:eastAsia="Times New Roman"/>
              </w:rPr>
              <w:t>G1</w:t>
            </w:r>
          </w:p>
        </w:tc>
        <w:tc>
          <w:tcPr>
            <w:tcW w:w="1347" w:type="dxa"/>
            <w:tcBorders>
              <w:top w:val="single" w:sz="4" w:space="0" w:color="auto"/>
              <w:left w:val="single" w:sz="4" w:space="0" w:color="auto"/>
            </w:tcBorders>
            <w:shd w:val="clear" w:color="auto" w:fill="FFFFFF" w:themeFill="background1"/>
            <w:hideMark/>
          </w:tcPr>
          <w:p w:rsidR="00E874B4" w:rsidRDefault="00E874B4" w:rsidP="00C14EE3">
            <w:pPr>
              <w:jc w:val="center"/>
              <w:rPr>
                <w:rFonts w:eastAsia="Times New Roman"/>
              </w:rPr>
            </w:pPr>
            <w:r>
              <w:rPr>
                <w:rFonts w:eastAsia="Times New Roman"/>
              </w:rPr>
              <w:t>13</w:t>
            </w:r>
          </w:p>
        </w:tc>
        <w:tc>
          <w:tcPr>
            <w:tcW w:w="1347" w:type="dxa"/>
            <w:tcBorders>
              <w:top w:val="single" w:sz="4" w:space="0" w:color="auto"/>
            </w:tcBorders>
            <w:shd w:val="clear" w:color="auto" w:fill="FFFFFF" w:themeFill="background1"/>
            <w:hideMark/>
          </w:tcPr>
          <w:p w:rsidR="00E874B4" w:rsidRDefault="00E874B4" w:rsidP="00C14EE3">
            <w:pPr>
              <w:jc w:val="center"/>
              <w:rPr>
                <w:rFonts w:eastAsia="Times New Roman"/>
              </w:rPr>
            </w:pPr>
            <w:r>
              <w:rPr>
                <w:rFonts w:eastAsia="Times New Roman"/>
              </w:rPr>
              <w:t>17</w:t>
            </w:r>
          </w:p>
        </w:tc>
      </w:tr>
      <w:tr w:rsidR="00E874B4" w:rsidTr="00AF52CD">
        <w:tc>
          <w:tcPr>
            <w:tcW w:w="2610" w:type="dxa"/>
            <w:vMerge/>
            <w:shd w:val="clear" w:color="auto" w:fill="404040" w:themeFill="text1" w:themeFillTint="BF"/>
            <w:hideMark/>
          </w:tcPr>
          <w:p w:rsidR="00E874B4" w:rsidRPr="00AF52CD" w:rsidRDefault="00E874B4">
            <w:pPr>
              <w:rPr>
                <w:rFonts w:eastAsia="Times New Roman"/>
                <w:b/>
                <w:color w:val="FFFFFF" w:themeColor="background1"/>
                <w:sz w:val="24"/>
                <w:szCs w:val="24"/>
              </w:rPr>
            </w:pPr>
          </w:p>
        </w:tc>
        <w:tc>
          <w:tcPr>
            <w:tcW w:w="1926" w:type="dxa"/>
            <w:tcBorders>
              <w:right w:val="single" w:sz="4" w:space="0" w:color="auto"/>
            </w:tcBorders>
            <w:shd w:val="clear" w:color="auto" w:fill="FFFFFF" w:themeFill="background1"/>
            <w:hideMark/>
          </w:tcPr>
          <w:p w:rsidR="00E874B4" w:rsidRDefault="00E874B4" w:rsidP="00467ADA">
            <w:pPr>
              <w:rPr>
                <w:rFonts w:eastAsia="Times New Roman"/>
              </w:rPr>
            </w:pPr>
            <w:r>
              <w:rPr>
                <w:rFonts w:eastAsia="Times New Roman"/>
              </w:rPr>
              <w:t>G4</w:t>
            </w:r>
          </w:p>
        </w:tc>
        <w:tc>
          <w:tcPr>
            <w:tcW w:w="1347" w:type="dxa"/>
            <w:tcBorders>
              <w:left w:val="single" w:sz="4" w:space="0" w:color="auto"/>
            </w:tcBorders>
            <w:shd w:val="clear" w:color="auto" w:fill="FFFFFF" w:themeFill="background1"/>
            <w:hideMark/>
          </w:tcPr>
          <w:p w:rsidR="00E874B4" w:rsidRDefault="00E874B4" w:rsidP="00C14EE3">
            <w:pPr>
              <w:jc w:val="center"/>
              <w:rPr>
                <w:rFonts w:eastAsia="Times New Roman"/>
              </w:rPr>
            </w:pPr>
            <w:r>
              <w:rPr>
                <w:rFonts w:eastAsia="Times New Roman"/>
              </w:rPr>
              <w:t>10</w:t>
            </w:r>
          </w:p>
        </w:tc>
        <w:tc>
          <w:tcPr>
            <w:tcW w:w="1347" w:type="dxa"/>
            <w:shd w:val="clear" w:color="auto" w:fill="FFFFFF" w:themeFill="background1"/>
            <w:hideMark/>
          </w:tcPr>
          <w:p w:rsidR="00E874B4" w:rsidRDefault="00E874B4" w:rsidP="00C14EE3">
            <w:pPr>
              <w:jc w:val="center"/>
              <w:rPr>
                <w:rFonts w:eastAsia="Times New Roman"/>
              </w:rPr>
            </w:pPr>
            <w:r>
              <w:rPr>
                <w:rFonts w:eastAsia="Times New Roman"/>
              </w:rPr>
              <w:t>4</w:t>
            </w:r>
          </w:p>
        </w:tc>
      </w:tr>
      <w:tr w:rsidR="00E874B4" w:rsidTr="00AF52CD">
        <w:trPr>
          <w:cnfStyle w:val="000000010000" w:firstRow="0" w:lastRow="0" w:firstColumn="0" w:lastColumn="0" w:oddVBand="0" w:evenVBand="0" w:oddHBand="0" w:evenHBand="1" w:firstRowFirstColumn="0" w:firstRowLastColumn="0" w:lastRowFirstColumn="0" w:lastRowLastColumn="0"/>
        </w:trPr>
        <w:tc>
          <w:tcPr>
            <w:tcW w:w="2610" w:type="dxa"/>
            <w:vMerge/>
            <w:shd w:val="clear" w:color="auto" w:fill="404040" w:themeFill="text1" w:themeFillTint="BF"/>
            <w:hideMark/>
          </w:tcPr>
          <w:p w:rsidR="00E874B4" w:rsidRPr="00AF52CD" w:rsidRDefault="00E874B4">
            <w:pPr>
              <w:rPr>
                <w:rFonts w:eastAsia="Times New Roman"/>
                <w:b/>
                <w:color w:val="FFFFFF" w:themeColor="background1"/>
                <w:sz w:val="24"/>
                <w:szCs w:val="24"/>
              </w:rPr>
            </w:pPr>
          </w:p>
        </w:tc>
        <w:tc>
          <w:tcPr>
            <w:tcW w:w="1926" w:type="dxa"/>
            <w:tcBorders>
              <w:right w:val="single" w:sz="4" w:space="0" w:color="auto"/>
            </w:tcBorders>
            <w:shd w:val="clear" w:color="auto" w:fill="FFFFFF" w:themeFill="background1"/>
            <w:hideMark/>
          </w:tcPr>
          <w:p w:rsidR="00E874B4" w:rsidRDefault="00E874B4" w:rsidP="00467ADA">
            <w:pPr>
              <w:rPr>
                <w:rFonts w:eastAsia="Times New Roman"/>
              </w:rPr>
            </w:pPr>
            <w:r>
              <w:rPr>
                <w:rFonts w:eastAsia="Times New Roman"/>
              </w:rPr>
              <w:t>G1/G4</w:t>
            </w:r>
          </w:p>
        </w:tc>
        <w:tc>
          <w:tcPr>
            <w:tcW w:w="1347" w:type="dxa"/>
            <w:tcBorders>
              <w:left w:val="single" w:sz="4" w:space="0" w:color="auto"/>
            </w:tcBorders>
            <w:shd w:val="clear" w:color="auto" w:fill="FFFFFF" w:themeFill="background1"/>
            <w:hideMark/>
          </w:tcPr>
          <w:p w:rsidR="00E874B4" w:rsidRDefault="00E874B4" w:rsidP="00C14EE3">
            <w:pPr>
              <w:jc w:val="center"/>
              <w:rPr>
                <w:rFonts w:eastAsia="Times New Roman"/>
              </w:rPr>
            </w:pPr>
            <w:r>
              <w:rPr>
                <w:rFonts w:eastAsia="Times New Roman"/>
              </w:rPr>
              <w:t>2</w:t>
            </w:r>
          </w:p>
        </w:tc>
        <w:tc>
          <w:tcPr>
            <w:tcW w:w="1347" w:type="dxa"/>
            <w:shd w:val="clear" w:color="auto" w:fill="FFFFFF" w:themeFill="background1"/>
            <w:hideMark/>
          </w:tcPr>
          <w:p w:rsidR="00E874B4" w:rsidRDefault="00E874B4" w:rsidP="00C14EE3">
            <w:pPr>
              <w:jc w:val="center"/>
              <w:rPr>
                <w:rFonts w:eastAsia="Times New Roman"/>
              </w:rPr>
            </w:pPr>
            <w:r>
              <w:rPr>
                <w:rFonts w:eastAsia="Times New Roman"/>
              </w:rPr>
              <w:t>2</w:t>
            </w:r>
          </w:p>
        </w:tc>
      </w:tr>
      <w:tr w:rsidR="00E874B4" w:rsidTr="00AF52CD">
        <w:tc>
          <w:tcPr>
            <w:tcW w:w="2610" w:type="dxa"/>
            <w:vMerge/>
            <w:shd w:val="clear" w:color="auto" w:fill="404040" w:themeFill="text1" w:themeFillTint="BF"/>
            <w:hideMark/>
          </w:tcPr>
          <w:p w:rsidR="00E874B4" w:rsidRPr="00AF52CD" w:rsidRDefault="00E874B4">
            <w:pPr>
              <w:rPr>
                <w:rFonts w:eastAsia="Times New Roman"/>
                <w:b/>
                <w:color w:val="FFFFFF" w:themeColor="background1"/>
                <w:sz w:val="24"/>
                <w:szCs w:val="24"/>
              </w:rPr>
            </w:pPr>
          </w:p>
        </w:tc>
        <w:tc>
          <w:tcPr>
            <w:tcW w:w="1926" w:type="dxa"/>
            <w:tcBorders>
              <w:right w:val="single" w:sz="4" w:space="0" w:color="auto"/>
            </w:tcBorders>
            <w:shd w:val="clear" w:color="auto" w:fill="FFFFFF" w:themeFill="background1"/>
            <w:hideMark/>
          </w:tcPr>
          <w:p w:rsidR="00E874B4" w:rsidRDefault="00E874B4" w:rsidP="00467ADA">
            <w:pPr>
              <w:rPr>
                <w:rFonts w:eastAsia="Times New Roman"/>
              </w:rPr>
            </w:pPr>
            <w:r>
              <w:rPr>
                <w:rFonts w:eastAsia="Times New Roman"/>
              </w:rPr>
              <w:t xml:space="preserve">G1/G6 (VP7 </w:t>
            </w:r>
            <w:proofErr w:type="spellStart"/>
            <w:r>
              <w:rPr>
                <w:rFonts w:eastAsia="Times New Roman"/>
              </w:rPr>
              <w:t>seq</w:t>
            </w:r>
            <w:proofErr w:type="spellEnd"/>
            <w:r>
              <w:rPr>
                <w:rFonts w:eastAsia="Times New Roman"/>
              </w:rPr>
              <w:t>)</w:t>
            </w:r>
          </w:p>
        </w:tc>
        <w:tc>
          <w:tcPr>
            <w:tcW w:w="1347" w:type="dxa"/>
            <w:tcBorders>
              <w:left w:val="single" w:sz="4" w:space="0" w:color="auto"/>
            </w:tcBorders>
            <w:shd w:val="clear" w:color="auto" w:fill="FFFFFF" w:themeFill="background1"/>
            <w:hideMark/>
          </w:tcPr>
          <w:p w:rsidR="00E874B4" w:rsidRDefault="00E874B4" w:rsidP="00C14EE3">
            <w:pPr>
              <w:jc w:val="center"/>
              <w:rPr>
                <w:rFonts w:eastAsia="Times New Roman"/>
              </w:rPr>
            </w:pPr>
          </w:p>
        </w:tc>
        <w:tc>
          <w:tcPr>
            <w:tcW w:w="1347" w:type="dxa"/>
            <w:shd w:val="clear" w:color="auto" w:fill="FFFFFF" w:themeFill="background1"/>
            <w:hideMark/>
          </w:tcPr>
          <w:p w:rsidR="00E874B4" w:rsidRDefault="00E874B4" w:rsidP="00C14EE3">
            <w:pPr>
              <w:jc w:val="center"/>
              <w:rPr>
                <w:rFonts w:eastAsia="Times New Roman"/>
                <w:sz w:val="24"/>
                <w:szCs w:val="24"/>
              </w:rPr>
            </w:pPr>
            <w:r>
              <w:rPr>
                <w:rFonts w:eastAsia="Times New Roman"/>
              </w:rPr>
              <w:t>1</w:t>
            </w:r>
          </w:p>
        </w:tc>
      </w:tr>
      <w:tr w:rsidR="00E874B4" w:rsidTr="00AF52CD">
        <w:trPr>
          <w:cnfStyle w:val="000000010000" w:firstRow="0" w:lastRow="0" w:firstColumn="0" w:lastColumn="0" w:oddVBand="0" w:evenVBand="0" w:oddHBand="0" w:evenHBand="1" w:firstRowFirstColumn="0" w:firstRowLastColumn="0" w:lastRowFirstColumn="0" w:lastRowLastColumn="0"/>
        </w:trPr>
        <w:tc>
          <w:tcPr>
            <w:tcW w:w="2610" w:type="dxa"/>
            <w:vMerge/>
            <w:shd w:val="clear" w:color="auto" w:fill="404040" w:themeFill="text1" w:themeFillTint="BF"/>
            <w:hideMark/>
          </w:tcPr>
          <w:p w:rsidR="00E874B4" w:rsidRPr="00AF52CD" w:rsidRDefault="00E874B4">
            <w:pPr>
              <w:rPr>
                <w:rFonts w:eastAsia="Times New Roman"/>
                <w:b/>
                <w:color w:val="FFFFFF" w:themeColor="background1"/>
                <w:sz w:val="24"/>
                <w:szCs w:val="24"/>
              </w:rPr>
            </w:pPr>
          </w:p>
        </w:tc>
        <w:tc>
          <w:tcPr>
            <w:tcW w:w="1926" w:type="dxa"/>
            <w:tcBorders>
              <w:right w:val="single" w:sz="4" w:space="0" w:color="auto"/>
            </w:tcBorders>
            <w:shd w:val="clear" w:color="auto" w:fill="FFFFFF" w:themeFill="background1"/>
            <w:hideMark/>
          </w:tcPr>
          <w:p w:rsidR="00E874B4" w:rsidRDefault="00E874B4" w:rsidP="00467ADA">
            <w:pPr>
              <w:rPr>
                <w:rFonts w:eastAsia="Times New Roman"/>
              </w:rPr>
            </w:pPr>
            <w:r>
              <w:rPr>
                <w:rFonts w:eastAsia="Times New Roman"/>
              </w:rPr>
              <w:t>G1/G3/G4</w:t>
            </w:r>
          </w:p>
        </w:tc>
        <w:tc>
          <w:tcPr>
            <w:tcW w:w="1347" w:type="dxa"/>
            <w:tcBorders>
              <w:left w:val="single" w:sz="4" w:space="0" w:color="auto"/>
            </w:tcBorders>
            <w:shd w:val="clear" w:color="auto" w:fill="FFFFFF" w:themeFill="background1"/>
            <w:hideMark/>
          </w:tcPr>
          <w:p w:rsidR="00E874B4" w:rsidRDefault="00E874B4" w:rsidP="00C14EE3">
            <w:pPr>
              <w:jc w:val="center"/>
              <w:rPr>
                <w:rFonts w:eastAsia="Times New Roman"/>
              </w:rPr>
            </w:pPr>
            <w:r>
              <w:rPr>
                <w:rFonts w:eastAsia="Times New Roman"/>
              </w:rPr>
              <w:t>1</w:t>
            </w:r>
          </w:p>
        </w:tc>
        <w:tc>
          <w:tcPr>
            <w:tcW w:w="1347" w:type="dxa"/>
            <w:shd w:val="clear" w:color="auto" w:fill="FFFFFF" w:themeFill="background1"/>
            <w:hideMark/>
          </w:tcPr>
          <w:p w:rsidR="00E874B4" w:rsidRDefault="00E874B4" w:rsidP="00C14EE3">
            <w:pPr>
              <w:jc w:val="center"/>
              <w:rPr>
                <w:rFonts w:eastAsia="Times New Roman"/>
              </w:rPr>
            </w:pPr>
          </w:p>
        </w:tc>
      </w:tr>
      <w:tr w:rsidR="00E874B4" w:rsidTr="00AF52CD">
        <w:tc>
          <w:tcPr>
            <w:tcW w:w="2610" w:type="dxa"/>
            <w:vMerge/>
            <w:shd w:val="clear" w:color="auto" w:fill="404040" w:themeFill="text1" w:themeFillTint="BF"/>
            <w:hideMark/>
          </w:tcPr>
          <w:p w:rsidR="00E874B4" w:rsidRPr="00AF52CD" w:rsidRDefault="00E874B4">
            <w:pPr>
              <w:rPr>
                <w:rFonts w:eastAsia="Times New Roman"/>
                <w:b/>
                <w:color w:val="FFFFFF" w:themeColor="background1"/>
                <w:sz w:val="24"/>
                <w:szCs w:val="24"/>
              </w:rPr>
            </w:pPr>
          </w:p>
        </w:tc>
        <w:tc>
          <w:tcPr>
            <w:tcW w:w="1926" w:type="dxa"/>
            <w:tcBorders>
              <w:right w:val="single" w:sz="4" w:space="0" w:color="auto"/>
            </w:tcBorders>
            <w:shd w:val="clear" w:color="auto" w:fill="FFFFFF" w:themeFill="background1"/>
            <w:hideMark/>
          </w:tcPr>
          <w:p w:rsidR="00E874B4" w:rsidRDefault="00E874B4" w:rsidP="00467ADA">
            <w:pPr>
              <w:rPr>
                <w:rFonts w:eastAsia="Times New Roman"/>
                <w:sz w:val="24"/>
                <w:szCs w:val="24"/>
              </w:rPr>
            </w:pPr>
            <w:r>
              <w:rPr>
                <w:rFonts w:eastAsia="Times New Roman"/>
              </w:rPr>
              <w:t xml:space="preserve">G4/G6 (VP7 </w:t>
            </w:r>
            <w:proofErr w:type="spellStart"/>
            <w:r>
              <w:rPr>
                <w:rFonts w:eastAsia="Times New Roman"/>
              </w:rPr>
              <w:t>seq</w:t>
            </w:r>
            <w:proofErr w:type="spellEnd"/>
            <w:r>
              <w:rPr>
                <w:rFonts w:eastAsia="Times New Roman"/>
              </w:rPr>
              <w:t>)</w:t>
            </w:r>
          </w:p>
        </w:tc>
        <w:tc>
          <w:tcPr>
            <w:tcW w:w="1347" w:type="dxa"/>
            <w:tcBorders>
              <w:left w:val="single" w:sz="4" w:space="0" w:color="auto"/>
            </w:tcBorders>
            <w:shd w:val="clear" w:color="auto" w:fill="FFFFFF" w:themeFill="background1"/>
            <w:hideMark/>
          </w:tcPr>
          <w:p w:rsidR="00E874B4" w:rsidRDefault="00E874B4" w:rsidP="00C14EE3">
            <w:pPr>
              <w:jc w:val="center"/>
              <w:rPr>
                <w:rFonts w:eastAsia="Times New Roman"/>
              </w:rPr>
            </w:pPr>
            <w:r>
              <w:rPr>
                <w:rFonts w:eastAsia="Times New Roman"/>
              </w:rPr>
              <w:t>1</w:t>
            </w:r>
          </w:p>
        </w:tc>
        <w:tc>
          <w:tcPr>
            <w:tcW w:w="1347" w:type="dxa"/>
            <w:shd w:val="clear" w:color="auto" w:fill="FFFFFF" w:themeFill="background1"/>
            <w:hideMark/>
          </w:tcPr>
          <w:p w:rsidR="00E874B4" w:rsidRDefault="00E874B4" w:rsidP="00C14EE3">
            <w:pPr>
              <w:jc w:val="center"/>
              <w:rPr>
                <w:rFonts w:eastAsia="Times New Roman"/>
              </w:rPr>
            </w:pPr>
          </w:p>
        </w:tc>
      </w:tr>
      <w:tr w:rsidR="00E874B4" w:rsidTr="00AF52CD">
        <w:trPr>
          <w:cnfStyle w:val="000000010000" w:firstRow="0" w:lastRow="0" w:firstColumn="0" w:lastColumn="0" w:oddVBand="0" w:evenVBand="0" w:oddHBand="0" w:evenHBand="1" w:firstRowFirstColumn="0" w:firstRowLastColumn="0" w:lastRowFirstColumn="0" w:lastRowLastColumn="0"/>
        </w:trPr>
        <w:tc>
          <w:tcPr>
            <w:tcW w:w="2610" w:type="dxa"/>
            <w:vMerge/>
            <w:shd w:val="clear" w:color="auto" w:fill="404040" w:themeFill="text1" w:themeFillTint="BF"/>
            <w:hideMark/>
          </w:tcPr>
          <w:p w:rsidR="00E874B4" w:rsidRPr="00AF52CD" w:rsidRDefault="00E874B4">
            <w:pPr>
              <w:rPr>
                <w:rFonts w:eastAsia="Times New Roman"/>
                <w:b/>
                <w:color w:val="FFFFFF" w:themeColor="background1"/>
                <w:sz w:val="24"/>
                <w:szCs w:val="24"/>
              </w:rPr>
            </w:pPr>
          </w:p>
        </w:tc>
        <w:tc>
          <w:tcPr>
            <w:tcW w:w="1926" w:type="dxa"/>
            <w:tcBorders>
              <w:right w:val="single" w:sz="4" w:space="0" w:color="auto"/>
            </w:tcBorders>
            <w:shd w:val="clear" w:color="auto" w:fill="FFFFFF" w:themeFill="background1"/>
            <w:hideMark/>
          </w:tcPr>
          <w:p w:rsidR="00E874B4" w:rsidRDefault="00E874B4" w:rsidP="00467ADA">
            <w:pPr>
              <w:rPr>
                <w:rFonts w:eastAsia="Times New Roman"/>
                <w:sz w:val="24"/>
                <w:szCs w:val="24"/>
              </w:rPr>
            </w:pPr>
            <w:r>
              <w:rPr>
                <w:rFonts w:eastAsia="Times New Roman"/>
              </w:rPr>
              <w:t xml:space="preserve">G6 (VP7 </w:t>
            </w:r>
            <w:proofErr w:type="spellStart"/>
            <w:r>
              <w:rPr>
                <w:rFonts w:eastAsia="Times New Roman"/>
              </w:rPr>
              <w:t>seq</w:t>
            </w:r>
            <w:proofErr w:type="spellEnd"/>
            <w:r>
              <w:rPr>
                <w:rFonts w:eastAsia="Times New Roman"/>
              </w:rPr>
              <w:t>)</w:t>
            </w:r>
          </w:p>
        </w:tc>
        <w:tc>
          <w:tcPr>
            <w:tcW w:w="1347" w:type="dxa"/>
            <w:tcBorders>
              <w:left w:val="single" w:sz="4" w:space="0" w:color="auto"/>
            </w:tcBorders>
            <w:shd w:val="clear" w:color="auto" w:fill="FFFFFF" w:themeFill="background1"/>
            <w:hideMark/>
          </w:tcPr>
          <w:p w:rsidR="00E874B4" w:rsidRDefault="00E874B4" w:rsidP="00C14EE3">
            <w:pPr>
              <w:jc w:val="center"/>
              <w:rPr>
                <w:rFonts w:eastAsia="Times New Roman"/>
              </w:rPr>
            </w:pPr>
            <w:r>
              <w:rPr>
                <w:rFonts w:eastAsia="Times New Roman"/>
              </w:rPr>
              <w:t>1</w:t>
            </w:r>
          </w:p>
        </w:tc>
        <w:tc>
          <w:tcPr>
            <w:tcW w:w="1347" w:type="dxa"/>
            <w:shd w:val="clear" w:color="auto" w:fill="FFFFFF" w:themeFill="background1"/>
            <w:hideMark/>
          </w:tcPr>
          <w:p w:rsidR="00E874B4" w:rsidRDefault="00E874B4" w:rsidP="00C14EE3">
            <w:pPr>
              <w:jc w:val="center"/>
              <w:rPr>
                <w:rFonts w:eastAsia="Times New Roman"/>
              </w:rPr>
            </w:pPr>
          </w:p>
        </w:tc>
      </w:tr>
      <w:tr w:rsidR="00E874B4" w:rsidTr="00AF52CD">
        <w:tc>
          <w:tcPr>
            <w:tcW w:w="2610" w:type="dxa"/>
            <w:vMerge/>
            <w:shd w:val="clear" w:color="auto" w:fill="404040" w:themeFill="text1" w:themeFillTint="BF"/>
            <w:hideMark/>
          </w:tcPr>
          <w:p w:rsidR="00E874B4" w:rsidRPr="00AF52CD" w:rsidRDefault="00E874B4">
            <w:pPr>
              <w:rPr>
                <w:rFonts w:eastAsia="Times New Roman"/>
                <w:b/>
                <w:color w:val="FFFFFF" w:themeColor="background1"/>
                <w:sz w:val="24"/>
                <w:szCs w:val="24"/>
              </w:rPr>
            </w:pPr>
          </w:p>
        </w:tc>
        <w:tc>
          <w:tcPr>
            <w:tcW w:w="1926" w:type="dxa"/>
            <w:tcBorders>
              <w:right w:val="single" w:sz="4" w:space="0" w:color="auto"/>
            </w:tcBorders>
            <w:hideMark/>
          </w:tcPr>
          <w:p w:rsidR="00E874B4" w:rsidRDefault="00E874B4" w:rsidP="00467ADA">
            <w:pPr>
              <w:rPr>
                <w:rFonts w:eastAsia="Times New Roman"/>
                <w:sz w:val="24"/>
                <w:szCs w:val="24"/>
              </w:rPr>
            </w:pPr>
            <w:r>
              <w:rPr>
                <w:rFonts w:eastAsia="Times New Roman"/>
              </w:rPr>
              <w:t xml:space="preserve">G </w:t>
            </w:r>
            <w:proofErr w:type="spellStart"/>
            <w:r>
              <w:rPr>
                <w:rFonts w:eastAsia="Times New Roman"/>
              </w:rPr>
              <w:t>nt</w:t>
            </w:r>
            <w:proofErr w:type="spellEnd"/>
          </w:p>
        </w:tc>
        <w:tc>
          <w:tcPr>
            <w:tcW w:w="1347" w:type="dxa"/>
            <w:tcBorders>
              <w:left w:val="single" w:sz="4" w:space="0" w:color="auto"/>
            </w:tcBorders>
            <w:hideMark/>
          </w:tcPr>
          <w:p w:rsidR="00E874B4" w:rsidRDefault="00E874B4" w:rsidP="00C14EE3">
            <w:pPr>
              <w:jc w:val="center"/>
              <w:rPr>
                <w:rFonts w:eastAsia="Times New Roman"/>
              </w:rPr>
            </w:pPr>
          </w:p>
        </w:tc>
        <w:tc>
          <w:tcPr>
            <w:tcW w:w="1347" w:type="dxa"/>
            <w:hideMark/>
          </w:tcPr>
          <w:p w:rsidR="00E874B4" w:rsidRDefault="00E874B4" w:rsidP="00C14EE3">
            <w:pPr>
              <w:jc w:val="center"/>
              <w:rPr>
                <w:rFonts w:eastAsia="Times New Roman"/>
                <w:sz w:val="24"/>
                <w:szCs w:val="24"/>
              </w:rPr>
            </w:pPr>
            <w:r>
              <w:rPr>
                <w:rFonts w:eastAsia="Times New Roman"/>
              </w:rPr>
              <w:t>4</w:t>
            </w:r>
          </w:p>
        </w:tc>
      </w:tr>
    </w:tbl>
    <w:p w:rsidR="007367B8" w:rsidRDefault="007367B8" w:rsidP="004A60F4"/>
    <w:p w:rsidR="00E874B4" w:rsidRDefault="00E874B4" w:rsidP="004A60F4">
      <w:r>
        <w:t>The majority of these P[</w:t>
      </w:r>
      <w:proofErr w:type="spellStart"/>
      <w:r>
        <w:t>nt</w:t>
      </w:r>
      <w:proofErr w:type="spellEnd"/>
      <w:r>
        <w:t xml:space="preserve">] samples were most likely due to the bovine </w:t>
      </w:r>
      <w:proofErr w:type="gramStart"/>
      <w:r>
        <w:t>P[</w:t>
      </w:r>
      <w:proofErr w:type="gramEnd"/>
      <w:r>
        <w:t xml:space="preserve">5] component of the </w:t>
      </w:r>
      <w:proofErr w:type="spellStart"/>
      <w:r>
        <w:t>RotaTeq</w:t>
      </w:r>
      <w:proofErr w:type="spellEnd"/>
      <w:r>
        <w:t xml:space="preserve"> vaccine, for which a separate hemi-nested RT-PCR with specific bovine primers would have had to be used to identify the P[5] component. Due to time constraints, this was not performed for these samples. </w:t>
      </w:r>
    </w:p>
    <w:p w:rsidR="00E874B4" w:rsidRDefault="00E874B4">
      <w:pPr>
        <w:pStyle w:val="Heading1"/>
        <w:rPr>
          <w:rFonts w:eastAsia="Times New Roman"/>
        </w:rPr>
      </w:pPr>
      <w:r>
        <w:rPr>
          <w:rFonts w:eastAsia="Times New Roman"/>
        </w:rPr>
        <w:t xml:space="preserve">Discussion </w:t>
      </w:r>
    </w:p>
    <w:p w:rsidR="00E874B4" w:rsidRDefault="00E874B4" w:rsidP="000200FA">
      <w:r>
        <w:t xml:space="preserve">This 2017 Australian Rotavirus Surveillance Program report describes the distribution of rotavirus genotypes and geographic differences of rotavirus strains causing disease in Australia, for the period of 1 January to 31 December 2017. During this surveillance period, three genotypes were attributed to multiple large outbreaks across Australia: </w:t>
      </w:r>
      <w:proofErr w:type="gramStart"/>
      <w:r>
        <w:t>G2P[</w:t>
      </w:r>
      <w:proofErr w:type="gramEnd"/>
      <w:r>
        <w:t xml:space="preserve">4] (in NT, SA, and WA primarily), equine-like G3P[8] (in NSW), and G8P[8] (in NSW and Victoria), representing 39%, 25%, and 16% of all strains identified respectively. Furthermore, rotavirus was also reported by collaborators as the cause of multiple outbreaks in childcare and elderly residential facilities, indicating that vaccine eligible and ineligible (due to age) groups are also at risk of developing severe rotavirus infections. </w:t>
      </w:r>
    </w:p>
    <w:p w:rsidR="00E874B4" w:rsidRDefault="00E874B4" w:rsidP="000200FA">
      <w:r>
        <w:t xml:space="preserve">In Australia, G2P[4] strains have previously caused a substantial disease burden after vaccine introduction to the Australian NIP, particularly in states and territories that administered </w:t>
      </w:r>
      <w:proofErr w:type="spellStart"/>
      <w:r>
        <w:t>Rotarix</w:t>
      </w:r>
      <w:proofErr w:type="spellEnd"/>
      <w:r>
        <w:t xml:space="preserve"> throughout 2017. Furthermore, G2P[4] was associated with an outbreak in the Northern Territory (2009), despite </w:t>
      </w:r>
      <w:proofErr w:type="spellStart"/>
      <w:r>
        <w:t>Rotarix</w:t>
      </w:r>
      <w:proofErr w:type="spellEnd"/>
      <w:r>
        <w:t xml:space="preserve"> vaccine inclusion in the NIP.</w:t>
      </w:r>
      <w:r>
        <w:rPr>
          <w:vertAlign w:val="superscript"/>
        </w:rPr>
        <w:t>22,23</w:t>
      </w:r>
      <w:r>
        <w:t xml:space="preserve"> During this reporting period, the prevalence of G2P[4] had increased when compared to the previous year, where it was the dominant genotype (39% of all strains identified in 2017, compared to 29% in 2016).</w:t>
      </w:r>
      <w:r>
        <w:rPr>
          <w:vertAlign w:val="superscript"/>
        </w:rPr>
        <w:t>24</w:t>
      </w:r>
      <w:r>
        <w:t xml:space="preserve"> Recently, G2P[4] has also increased in other countries such as Sweden, Japan, Brazil, and China.</w:t>
      </w:r>
      <w:r>
        <w:rPr>
          <w:vertAlign w:val="superscript"/>
        </w:rPr>
        <w:t>25–28</w:t>
      </w:r>
      <w:r>
        <w:t xml:space="preserve"> Although G2P[4] is currently circulating in both countries with and without rotavirus vaccine in their NIP, the question remains why this genotype causes such a burden in countries where rotavirus vaccines are available.</w:t>
      </w:r>
      <w:r>
        <w:rPr>
          <w:vertAlign w:val="superscript"/>
        </w:rPr>
        <w:t>25,28–30</w:t>
      </w:r>
      <w:r>
        <w:t xml:space="preserve"> An increased proportion of G2P[4] strains have also been reported in Belgium, Brazil, and Scotland, after introduction of the </w:t>
      </w:r>
      <w:proofErr w:type="spellStart"/>
      <w:r>
        <w:t>Rotarix</w:t>
      </w:r>
      <w:proofErr w:type="spellEnd"/>
      <w:r>
        <w:t xml:space="preserve"> vaccine.</w:t>
      </w:r>
      <w:r>
        <w:rPr>
          <w:vertAlign w:val="superscript"/>
        </w:rPr>
        <w:t>30–32</w:t>
      </w:r>
      <w:r>
        <w:t xml:space="preserve"> Indeed, a Belgium study described higher incidence rates of G2P[4] in vaccinated hospitalised cases compared to unvaccinated hospitalised cases.</w:t>
      </w:r>
      <w:r>
        <w:rPr>
          <w:vertAlign w:val="superscript"/>
        </w:rPr>
        <w:t>31</w:t>
      </w:r>
      <w:r>
        <w:t xml:space="preserve"> Lower effectiveness and waning heterotypic response afforded by </w:t>
      </w:r>
      <w:proofErr w:type="spellStart"/>
      <w:r>
        <w:t>Rotarix</w:t>
      </w:r>
      <w:proofErr w:type="spellEnd"/>
      <w:r>
        <w:t xml:space="preserve"> could have contributed to a decrease in herd immunity to this genotype.</w:t>
      </w:r>
      <w:r>
        <w:rPr>
          <w:vertAlign w:val="superscript"/>
        </w:rPr>
        <w:t>22</w:t>
      </w:r>
      <w:r>
        <w:t xml:space="preserve"> However, G2P[4] strains also accounted for 46% of strains genotyped in states utilising the </w:t>
      </w:r>
      <w:proofErr w:type="spellStart"/>
      <w:r>
        <w:t>RotaTeq</w:t>
      </w:r>
      <w:proofErr w:type="spellEnd"/>
      <w:r>
        <w:t xml:space="preserve"> vaccine during this reporting period. A comparison of the </w:t>
      </w:r>
      <w:proofErr w:type="spellStart"/>
      <w:r>
        <w:t>RotaTeq</w:t>
      </w:r>
      <w:proofErr w:type="spellEnd"/>
      <w:r>
        <w:t xml:space="preserve"> component strain that was isolated in 1992, and G2P[4] strains circulating globally over the last decade, revealed substitutions in antigenic regions.</w:t>
      </w:r>
      <w:r>
        <w:rPr>
          <w:vertAlign w:val="superscript"/>
        </w:rPr>
        <w:t>33</w:t>
      </w:r>
      <w:r>
        <w:t xml:space="preserve"> Thus, if current strains continue to accumulate mutations in antigenic regions, both rotavirus vaccines may need to be updated in order to maintain effectiveness. </w:t>
      </w:r>
    </w:p>
    <w:p w:rsidR="00E874B4" w:rsidRDefault="00E874B4" w:rsidP="000200FA">
      <w:r>
        <w:lastRenderedPageBreak/>
        <w:t xml:space="preserve">Equine-like </w:t>
      </w:r>
      <w:proofErr w:type="gramStart"/>
      <w:r>
        <w:t>G3P[</w:t>
      </w:r>
      <w:proofErr w:type="gramEnd"/>
      <w:r>
        <w:t xml:space="preserve">8] and G8P[8] also caused significant disease in Australia during this reporting period. Equine-like G3P[8] had previously been described as a dominant strain in Australia, primarily in states and territories that use </w:t>
      </w:r>
      <w:proofErr w:type="spellStart"/>
      <w:r>
        <w:t>Rotarix</w:t>
      </w:r>
      <w:proofErr w:type="spellEnd"/>
      <w:r>
        <w:t>, however G8P[8] was considered a rare or unusual genotype in Australia.</w:t>
      </w:r>
      <w:r>
        <w:rPr>
          <w:vertAlign w:val="superscript"/>
        </w:rPr>
        <w:t>20,34</w:t>
      </w:r>
      <w:r>
        <w:t xml:space="preserve"> These two genotypes have recently emerged as either a predominant strain, or have caused outbreaks in other countries. For example, </w:t>
      </w:r>
      <w:proofErr w:type="gramStart"/>
      <w:r>
        <w:t>G8P[</w:t>
      </w:r>
      <w:proofErr w:type="gramEnd"/>
      <w:r>
        <w:t>8] emerged after 2014 in Thailand, Vietnam, and caused outbreaks in Central Japan in 2014 and 2017.</w:t>
      </w:r>
      <w:r>
        <w:rPr>
          <w:vertAlign w:val="superscript"/>
        </w:rPr>
        <w:t>35–40</w:t>
      </w:r>
      <w:r>
        <w:t xml:space="preserve"> Equine-like G3P[8] (or P[4]) also emerged after 2014 as a predominant strain in Germany, Hungary, Indonesia, Japan, and Spain.</w:t>
      </w:r>
      <w:r>
        <w:rPr>
          <w:vertAlign w:val="superscript"/>
        </w:rPr>
        <w:t>40–45</w:t>
      </w:r>
      <w:r>
        <w:t xml:space="preserve"> Thus, the circulation of these strains in Australia reflect global patterns, and not unusual changes unique to Australia. </w:t>
      </w:r>
    </w:p>
    <w:p w:rsidR="00E874B4" w:rsidRDefault="00E874B4" w:rsidP="000200FA">
      <w:r>
        <w:t>As reported previously, the diversity of rotavirus genotypes in Australia since vaccine introduction has increased, with the emergence of more unusual zoonotic strains and novel genotypes in the post-vaccine introduction era.</w:t>
      </w:r>
      <w:r>
        <w:rPr>
          <w:vertAlign w:val="superscript"/>
        </w:rPr>
        <w:t>34</w:t>
      </w:r>
      <w:r>
        <w:t xml:space="preserve"> During this reporting period, several animal-like genotypes were detected across all states and territories, including feline/canine-like </w:t>
      </w:r>
      <w:proofErr w:type="gramStart"/>
      <w:r>
        <w:t>G3P[</w:t>
      </w:r>
      <w:proofErr w:type="gramEnd"/>
      <w:r>
        <w:t>3] (or P[9]), G3P[6], G6P[8], G8P[8], and G8P[1]. These unusual combinations have become more frequent during the past few years, and demonstrate that rotavirus genotype diversity is unpredictable, constantly evolving, and causes unique challenges to any rotavirus vaccination programs that are in effect. Indeed, rotavirus vaccination did not protect against the severity and magnitude of the G8P[8] outbreak in Japan, however, it did play a crucial role in limiting disease severity.</w:t>
      </w:r>
      <w:r>
        <w:rPr>
          <w:vertAlign w:val="superscript"/>
        </w:rPr>
        <w:t>35</w:t>
      </w:r>
      <w:r>
        <w:t xml:space="preserve"> Not only were paediatric hospitalisations and outpatient visits due to acute gastroenteritis reduced, vaccine introduction also elicited a herd protection effect in older age groups.</w:t>
      </w:r>
      <w:r>
        <w:rPr>
          <w:vertAlign w:val="superscript"/>
        </w:rPr>
        <w:t>46</w:t>
      </w:r>
      <w:r>
        <w:t xml:space="preserve"> </w:t>
      </w:r>
    </w:p>
    <w:p w:rsidR="00E874B4" w:rsidRDefault="00E874B4" w:rsidP="000200FA">
      <w:r>
        <w:t>During this reporting period, it was observed that children aged 13–24 months of age, and adults ≥20 years of age, were commonly affected by symptomatic rotavirus infection. Rotavirus associated outbreaks in elderly residential homes were reported to the NRRC by collaborators. This shift in age towards an older population, compared to vaccine-eligible age groups, is not a new observation in Australia; and has also been reported in China, Brazil, Finland, Sweden, and Japan.</w:t>
      </w:r>
      <w:r>
        <w:rPr>
          <w:vertAlign w:val="superscript"/>
        </w:rPr>
        <w:t>25–27,47</w:t>
      </w:r>
      <w:r>
        <w:t xml:space="preserve"> A study in China demonstrated the importance of infected children as reservoirs that sustain circulation of rotavirus in adults, where rotavirus infection from child-to-adult transmission was the most important epidemiological setting that impacted on public health.</w:t>
      </w:r>
      <w:r>
        <w:rPr>
          <w:vertAlign w:val="superscript"/>
        </w:rPr>
        <w:t>27</w:t>
      </w:r>
      <w:r>
        <w:t xml:space="preserve"> Thus, the question is raised whether current licensed rotavirus vaccinations could be considered for other age groups such as the elderly, in order to reduce rotavirus disease burden not only in Australia, but globally.</w:t>
      </w:r>
      <w:r>
        <w:rPr>
          <w:vertAlign w:val="superscript"/>
        </w:rPr>
        <w:t>26</w:t>
      </w:r>
      <w:r>
        <w:t xml:space="preserve"> </w:t>
      </w:r>
    </w:p>
    <w:p w:rsidR="00E874B4" w:rsidRDefault="00E874B4" w:rsidP="000200FA">
      <w:r>
        <w:t xml:space="preserve">Vaccine strains were detected less frequently in 2017 than in previous years. Due to the large quantity of samples that were sent for 2017, the request was made that previously identified vaccine-like strains (i.e. South Australia collaborators screening for </w:t>
      </w:r>
      <w:proofErr w:type="spellStart"/>
      <w:r>
        <w:t>RotaTeq</w:t>
      </w:r>
      <w:proofErr w:type="spellEnd"/>
      <w:r>
        <w:t xml:space="preserve"> by RT-qPCR) would not be sent or analysed as part of the 2017 ARSP. Another reason why this proportion has reduced may be that samples with a Ct higher than 27 would not be sent or analysed, as samples with such high Ct values were commonly too difficult to genotype, or were found to be associated with rotavirus vaccine secretion after recent vaccination.</w:t>
      </w:r>
      <w:r>
        <w:rPr>
          <w:vertAlign w:val="superscript"/>
        </w:rPr>
        <w:t>48</w:t>
      </w:r>
      <w:r>
        <w:t xml:space="preserve"> </w:t>
      </w:r>
    </w:p>
    <w:p w:rsidR="00E874B4" w:rsidRDefault="00E874B4" w:rsidP="000200FA">
      <w:r>
        <w:t xml:space="preserve">Sequence confirmation of vaccine-like samples (i.e. </w:t>
      </w:r>
      <w:proofErr w:type="gramStart"/>
      <w:r>
        <w:t>G1P[</w:t>
      </w:r>
      <w:proofErr w:type="gramEnd"/>
      <w:r>
        <w:t>8], G1/G3/G4 with P[8] or P[</w:t>
      </w:r>
      <w:proofErr w:type="spellStart"/>
      <w:r>
        <w:t>nt</w:t>
      </w:r>
      <w:proofErr w:type="spellEnd"/>
      <w:r>
        <w:t xml:space="preserve">]) is important, otherwise the prevalence of </w:t>
      </w:r>
      <w:proofErr w:type="spellStart"/>
      <w:r>
        <w:t>wildtype</w:t>
      </w:r>
      <w:proofErr w:type="spellEnd"/>
      <w:r>
        <w:t xml:space="preserve"> infections involving either G1P[8], G3P[8], or G4P[8] could be over represented. Indeed, since vaccine introduction in the Australian NIP, common genotypes such as G1, G3, and G4 have drastically dropped in prevalence, emphasising the beneficial effect of rotavirus vaccines.</w:t>
      </w:r>
      <w:r>
        <w:rPr>
          <w:vertAlign w:val="superscript"/>
        </w:rPr>
        <w:t xml:space="preserve">34 </w:t>
      </w:r>
      <w:r>
        <w:t>Although multiple outbreaks and high incidence of rotavirus was reported for 2017, rotavirus vaccines have still significantly reduced the disease burden in Australia, and in other countries that have introduced rotavirus vaccines into their NIP.</w:t>
      </w:r>
      <w:r>
        <w:rPr>
          <w:vertAlign w:val="superscript"/>
        </w:rPr>
        <w:t>11,46,47</w:t>
      </w:r>
      <w:r>
        <w:t xml:space="preserve"> This year marked an important change in the Australian NIP, from including both </w:t>
      </w:r>
      <w:proofErr w:type="spellStart"/>
      <w:r>
        <w:t>RotaTeq</w:t>
      </w:r>
      <w:proofErr w:type="spellEnd"/>
      <w:r>
        <w:t xml:space="preserve"> and </w:t>
      </w:r>
      <w:proofErr w:type="spellStart"/>
      <w:r>
        <w:t>Rotarix</w:t>
      </w:r>
      <w:proofErr w:type="spellEnd"/>
      <w:r>
        <w:t xml:space="preserve"> in the vaccine schedule in different states and territories, to exclusively </w:t>
      </w:r>
      <w:proofErr w:type="spellStart"/>
      <w:r>
        <w:t>Rotarix</w:t>
      </w:r>
      <w:proofErr w:type="spellEnd"/>
      <w:r>
        <w:t xml:space="preserve"> Australia-wide on 1 July 2017.</w:t>
      </w:r>
      <w:r>
        <w:rPr>
          <w:vertAlign w:val="superscript"/>
        </w:rPr>
        <w:t>9</w:t>
      </w:r>
      <w:r>
        <w:t xml:space="preserve"> However, potential changes in rotavirus distribution and diversity as a result of this change will most likely not be seen until at least three years have passed, as seen previously when Western Australia changed from </w:t>
      </w:r>
      <w:proofErr w:type="spellStart"/>
      <w:r>
        <w:t>Rotarix</w:t>
      </w:r>
      <w:proofErr w:type="spellEnd"/>
      <w:r>
        <w:t xml:space="preserve"> to </w:t>
      </w:r>
      <w:proofErr w:type="spellStart"/>
      <w:r>
        <w:t>RotaTeq</w:t>
      </w:r>
      <w:proofErr w:type="spellEnd"/>
      <w:r>
        <w:t xml:space="preserve"> in 2009.</w:t>
      </w:r>
      <w:r>
        <w:rPr>
          <w:vertAlign w:val="superscript"/>
        </w:rPr>
        <w:t>34</w:t>
      </w:r>
      <w:r>
        <w:t xml:space="preserve"> Continued monitoring of rotavirus distribution and diversity is required, to inform vaccination programs how the ever-changing epidemiology of rotavirus strains will challenge vaccine effectiveness. </w:t>
      </w:r>
    </w:p>
    <w:p w:rsidR="00E874B4" w:rsidRDefault="00E874B4" w:rsidP="000200FA">
      <w:r>
        <w:lastRenderedPageBreak/>
        <w:t xml:space="preserve">In this 2017 annual report, an increase in rotavirus disease caused by </w:t>
      </w:r>
      <w:proofErr w:type="gramStart"/>
      <w:r>
        <w:t>G2P[</w:t>
      </w:r>
      <w:proofErr w:type="gramEnd"/>
      <w:r>
        <w:t xml:space="preserve">4], equine-like G3P[8], and G8P[8] was described. </w:t>
      </w:r>
      <w:proofErr w:type="gramStart"/>
      <w:r>
        <w:t>G2P[</w:t>
      </w:r>
      <w:proofErr w:type="gramEnd"/>
      <w:r>
        <w:t xml:space="preserve">4] was the dominant genotype for the second year in a row, while equine-like G3P[8] continued to cause significant disease burden in Australia. All samples collected from Australian Capital Territory, New South Wales, Tasmania, Victoria, and Western Australia (1 Jan to 31 Dec) were analysed and included in this report. Due to an overwhelming number of samples being sent to the NRRC for 2017 (most received after February 2018), this report reflects samples collected from 1 Jan – 31 Aug for Queensland and South Australia. Samples were not available from Northern Territory for the period of 1 Jun – 31 Dec 2017. The data from 2018 which marks the first full 12 months after change to </w:t>
      </w:r>
      <w:proofErr w:type="spellStart"/>
      <w:r>
        <w:t>Rotarix</w:t>
      </w:r>
      <w:proofErr w:type="spellEnd"/>
      <w:r>
        <w:t xml:space="preserve"> vaccine in all states and territories will provide the first indication of the impact this change may have had on circulating rotavirus strains. However, based on previous observations from the pre- and post-rotavirus vaccine introduction eras in Australia, these trends may take 5 to 10 years to become clear.</w:t>
      </w:r>
      <w:r>
        <w:rPr>
          <w:vertAlign w:val="superscript"/>
        </w:rPr>
        <w:t>34</w:t>
      </w:r>
      <w:r>
        <w:t xml:space="preserve"> </w:t>
      </w:r>
    </w:p>
    <w:p w:rsidR="00E874B4" w:rsidRDefault="00E874B4">
      <w:pPr>
        <w:pStyle w:val="Heading1"/>
        <w:rPr>
          <w:rFonts w:eastAsia="Times New Roman"/>
        </w:rPr>
      </w:pPr>
      <w:r>
        <w:rPr>
          <w:rFonts w:eastAsia="Times New Roman"/>
        </w:rPr>
        <w:t xml:space="preserve">Acknowledgements </w:t>
      </w:r>
    </w:p>
    <w:p w:rsidR="00E874B4" w:rsidRDefault="00E874B4" w:rsidP="000200FA">
      <w:r>
        <w:t xml:space="preserve">The Australian Rotavirus Surveillance Program is supported by grants from the Australian Government Department of Health, GlaxoSmithKline Biologicals SA [Study#116120] and </w:t>
      </w:r>
      <w:proofErr w:type="spellStart"/>
      <w:r>
        <w:t>Seqirus</w:t>
      </w:r>
      <w:proofErr w:type="spellEnd"/>
      <w:r>
        <w:t xml:space="preserve"> (bioCSL) Australia. The Murdoch Children’s Research Institute (MCRI) is supported by the Victorian Government’s Operational Infrastructure Support program. GlaxoSmithKline Biologicals SA was provided the opportunity to review a preliminary version of this manuscript for factual accuracy but the authors are solely responsible for final content and interpretation. The authors received no financial support or other form of compensation related to the development of the manuscript. </w:t>
      </w:r>
    </w:p>
    <w:p w:rsidR="00E874B4" w:rsidRDefault="00E874B4" w:rsidP="000200FA">
      <w:r>
        <w:t xml:space="preserve">We thank H Tran and N </w:t>
      </w:r>
      <w:proofErr w:type="spellStart"/>
      <w:r>
        <w:t>Bogdanovic</w:t>
      </w:r>
      <w:proofErr w:type="spellEnd"/>
      <w:r>
        <w:t xml:space="preserve"> for providing technical assistance. </w:t>
      </w:r>
    </w:p>
    <w:p w:rsidR="00E874B4" w:rsidRDefault="00E874B4" w:rsidP="000200FA">
      <w:r>
        <w:t xml:space="preserve">Rotavirus positive specimens were collected from numerous centres throughout Australia. The significant time and effort involved in the collection, storage, packaging, compiling data and forwarding of specimens was much appreciated. </w:t>
      </w:r>
    </w:p>
    <w:p w:rsidR="00E874B4" w:rsidRDefault="00E874B4" w:rsidP="000200FA">
      <w:r>
        <w:t xml:space="preserve">The National Rotavirus Surveillance Group includes: </w:t>
      </w:r>
    </w:p>
    <w:p w:rsidR="00E874B4" w:rsidRDefault="00E874B4" w:rsidP="000200FA">
      <w:r>
        <w:rPr>
          <w:rStyle w:val="Strong"/>
        </w:rPr>
        <w:t>The Australian National Rotavirus Reference Centre</w:t>
      </w:r>
      <w:r>
        <w:t xml:space="preserve"> Australian Rotavirus Surveillance Program Central Laboratory Murdoch Children’s Research Institute, Parkville, Victoria </w:t>
      </w:r>
    </w:p>
    <w:p w:rsidR="00E874B4" w:rsidRDefault="00E874B4" w:rsidP="004A3284">
      <w:pPr>
        <w:pStyle w:val="NoSpacing"/>
      </w:pPr>
      <w:r>
        <w:t xml:space="preserve">Mrs Susie Roczo-Farkas; Coordinator, Research Assistant, Enteric Disease Group, Murdoch Children’s Research Institute </w:t>
      </w:r>
    </w:p>
    <w:p w:rsidR="00E874B4" w:rsidRDefault="00E874B4" w:rsidP="004A3284">
      <w:pPr>
        <w:pStyle w:val="NoSpacing"/>
      </w:pPr>
      <w:r>
        <w:t xml:space="preserve">Prof Julie Bines; Group Leader, Enteric Disease Group, Murdoch Children’s Research Institute </w:t>
      </w:r>
    </w:p>
    <w:p w:rsidR="00E874B4" w:rsidRDefault="00E874B4" w:rsidP="004A3284">
      <w:pPr>
        <w:pStyle w:val="NoSpacing"/>
      </w:pPr>
      <w:proofErr w:type="spellStart"/>
      <w:r>
        <w:t>Dr.</w:t>
      </w:r>
      <w:proofErr w:type="spellEnd"/>
      <w:r>
        <w:t xml:space="preserve"> Daniel Cowley; Research Officer, Enteric Disease Group, Murdoch Children’s Research Institute </w:t>
      </w:r>
    </w:p>
    <w:p w:rsidR="00E874B4" w:rsidRDefault="00E874B4">
      <w:pPr>
        <w:pStyle w:val="Heading2"/>
        <w:rPr>
          <w:rFonts w:eastAsia="Times New Roman"/>
        </w:rPr>
      </w:pPr>
      <w:r>
        <w:rPr>
          <w:rFonts w:eastAsia="Times New Roman"/>
        </w:rPr>
        <w:t xml:space="preserve">Australian Capital Territory </w:t>
      </w:r>
    </w:p>
    <w:p w:rsidR="00E874B4" w:rsidRDefault="00E874B4" w:rsidP="004A3284">
      <w:pPr>
        <w:pStyle w:val="NoSpacing"/>
      </w:pPr>
      <w:r>
        <w:t xml:space="preserve">Ms S. Bradbury, Ms E. Malinsky, and members of members of the Microbiology Department, Canberra Hospital </w:t>
      </w:r>
    </w:p>
    <w:p w:rsidR="00E874B4" w:rsidRDefault="00E874B4">
      <w:pPr>
        <w:pStyle w:val="Heading2"/>
        <w:rPr>
          <w:rFonts w:eastAsia="Times New Roman"/>
        </w:rPr>
      </w:pPr>
      <w:r>
        <w:rPr>
          <w:rFonts w:eastAsia="Times New Roman"/>
        </w:rPr>
        <w:t xml:space="preserve">New South Wales </w:t>
      </w:r>
    </w:p>
    <w:p w:rsidR="00E874B4" w:rsidRDefault="00E874B4" w:rsidP="004A3284">
      <w:pPr>
        <w:pStyle w:val="NoSpacing"/>
      </w:pPr>
      <w:r>
        <w:t xml:space="preserve">Prof W. Rawlinson, </w:t>
      </w:r>
      <w:proofErr w:type="spellStart"/>
      <w:r>
        <w:t>Prof.</w:t>
      </w:r>
      <w:proofErr w:type="spellEnd"/>
      <w:r>
        <w:t xml:space="preserve"> M. Lahra, Mr J. </w:t>
      </w:r>
      <w:proofErr w:type="spellStart"/>
      <w:r>
        <w:t>Merif</w:t>
      </w:r>
      <w:proofErr w:type="spellEnd"/>
      <w:r>
        <w:t xml:space="preserve">, and members of the Virology Division, SEALS, Prince of Wales Hospital </w:t>
      </w:r>
    </w:p>
    <w:p w:rsidR="00E874B4" w:rsidRDefault="00E874B4" w:rsidP="004A3284">
      <w:pPr>
        <w:pStyle w:val="NoSpacing"/>
      </w:pPr>
      <w:r>
        <w:t xml:space="preserve">Dr A. </w:t>
      </w:r>
      <w:proofErr w:type="spellStart"/>
      <w:r>
        <w:t>Kesson</w:t>
      </w:r>
      <w:proofErr w:type="spellEnd"/>
      <w:r>
        <w:t xml:space="preserve">, Ms I. Tam, and members of the Virology Department, The Children’s Hospital at Westmead </w:t>
      </w:r>
    </w:p>
    <w:p w:rsidR="00E874B4" w:rsidRDefault="00E874B4" w:rsidP="004A3284">
      <w:pPr>
        <w:pStyle w:val="NoSpacing"/>
      </w:pPr>
      <w:r>
        <w:t xml:space="preserve">Dr V. </w:t>
      </w:r>
      <w:proofErr w:type="spellStart"/>
      <w:r>
        <w:t>Sintchenko</w:t>
      </w:r>
      <w:proofErr w:type="spellEnd"/>
      <w:r>
        <w:t xml:space="preserve">, T. </w:t>
      </w:r>
      <w:proofErr w:type="spellStart"/>
      <w:r>
        <w:t>Olna</w:t>
      </w:r>
      <w:proofErr w:type="spellEnd"/>
      <w:r>
        <w:t xml:space="preserve">, Centre for Infectious Diseases and Microbiology, Westmead Hospital </w:t>
      </w:r>
    </w:p>
    <w:p w:rsidR="00E874B4" w:rsidRDefault="00E874B4" w:rsidP="004A3284">
      <w:pPr>
        <w:pStyle w:val="NoSpacing"/>
      </w:pPr>
      <w:r>
        <w:t xml:space="preserve">Dr R. </w:t>
      </w:r>
      <w:proofErr w:type="spellStart"/>
      <w:r>
        <w:t>Givney</w:t>
      </w:r>
      <w:proofErr w:type="spellEnd"/>
      <w:r>
        <w:t xml:space="preserve">, S. Pearce, K. Delves, and members of the Microbiology Department, John Hunter Hospital, Newcastle </w:t>
      </w:r>
    </w:p>
    <w:p w:rsidR="00E874B4" w:rsidRDefault="00E874B4" w:rsidP="004A3284">
      <w:pPr>
        <w:pStyle w:val="NoSpacing"/>
      </w:pPr>
      <w:r>
        <w:t xml:space="preserve">Mr D. Spence and members of the Microbiology Department, Pathology North Central Coast, Gosford </w:t>
      </w:r>
    </w:p>
    <w:p w:rsidR="00E874B4" w:rsidRDefault="00E874B4" w:rsidP="004A3284">
      <w:pPr>
        <w:pStyle w:val="NoSpacing"/>
      </w:pPr>
      <w:r>
        <w:t xml:space="preserve">Dr M. </w:t>
      </w:r>
      <w:proofErr w:type="spellStart"/>
      <w:r>
        <w:t>Wehrhahn</w:t>
      </w:r>
      <w:proofErr w:type="spellEnd"/>
      <w:r>
        <w:t xml:space="preserve"> and members of Douglas </w:t>
      </w:r>
      <w:proofErr w:type="spellStart"/>
      <w:r>
        <w:t>Hanly</w:t>
      </w:r>
      <w:proofErr w:type="spellEnd"/>
      <w:r>
        <w:t xml:space="preserve"> </w:t>
      </w:r>
      <w:proofErr w:type="spellStart"/>
      <w:r>
        <w:t>Moir</w:t>
      </w:r>
      <w:proofErr w:type="spellEnd"/>
      <w:r>
        <w:t xml:space="preserve"> Pathology, New South Wales </w:t>
      </w:r>
    </w:p>
    <w:p w:rsidR="00A14D4E" w:rsidRDefault="00A14D4E">
      <w:pPr>
        <w:rPr>
          <w:rFonts w:asciiTheme="majorHAnsi" w:eastAsia="Times New Roman" w:hAnsiTheme="majorHAnsi" w:cstheme="majorBidi"/>
          <w:b/>
          <w:bCs/>
          <w:sz w:val="26"/>
          <w:szCs w:val="26"/>
        </w:rPr>
      </w:pPr>
      <w:r>
        <w:rPr>
          <w:rFonts w:eastAsia="Times New Roman"/>
        </w:rPr>
        <w:br w:type="page"/>
      </w:r>
    </w:p>
    <w:p w:rsidR="00E874B4" w:rsidRDefault="00E874B4">
      <w:pPr>
        <w:pStyle w:val="Heading2"/>
        <w:rPr>
          <w:rFonts w:eastAsia="Times New Roman"/>
        </w:rPr>
      </w:pPr>
      <w:r>
        <w:rPr>
          <w:rFonts w:eastAsia="Times New Roman"/>
        </w:rPr>
        <w:lastRenderedPageBreak/>
        <w:t xml:space="preserve">Northern Territory </w:t>
      </w:r>
    </w:p>
    <w:p w:rsidR="00E874B4" w:rsidRDefault="00E874B4" w:rsidP="004A3284">
      <w:pPr>
        <w:pStyle w:val="NoSpacing"/>
      </w:pPr>
      <w:r>
        <w:t xml:space="preserve">Dr M. </w:t>
      </w:r>
      <w:proofErr w:type="spellStart"/>
      <w:r>
        <w:t>Karimi</w:t>
      </w:r>
      <w:proofErr w:type="spellEnd"/>
      <w:r>
        <w:t xml:space="preserve"> and members of the Department of Microbiology, Western Diagnostics Pathology, Perth, Western Australia </w:t>
      </w:r>
    </w:p>
    <w:p w:rsidR="00E874B4" w:rsidRDefault="00E874B4" w:rsidP="004A3284">
      <w:pPr>
        <w:pStyle w:val="NoSpacing"/>
      </w:pPr>
      <w:r>
        <w:t xml:space="preserve">Ms H. Cook, Centre for Disease Control, Darwin </w:t>
      </w:r>
    </w:p>
    <w:p w:rsidR="00E874B4" w:rsidRDefault="00E874B4">
      <w:pPr>
        <w:pStyle w:val="Heading2"/>
        <w:rPr>
          <w:rFonts w:eastAsia="Times New Roman"/>
        </w:rPr>
      </w:pPr>
      <w:r>
        <w:rPr>
          <w:rFonts w:eastAsia="Times New Roman"/>
        </w:rPr>
        <w:t xml:space="preserve">Queensland </w:t>
      </w:r>
    </w:p>
    <w:p w:rsidR="00E874B4" w:rsidRDefault="00E874B4" w:rsidP="004A3284">
      <w:pPr>
        <w:pStyle w:val="NoSpacing"/>
      </w:pPr>
      <w:r>
        <w:t xml:space="preserve">Mr F. Moore, Ms J. McMahon, Forensic and Scientific Services, Queensland Health, Herston </w:t>
      </w:r>
    </w:p>
    <w:p w:rsidR="00E874B4" w:rsidRDefault="00E874B4" w:rsidP="004A3284">
      <w:pPr>
        <w:pStyle w:val="NoSpacing"/>
      </w:pPr>
      <w:r>
        <w:t xml:space="preserve">Dr G. </w:t>
      </w:r>
      <w:proofErr w:type="spellStart"/>
      <w:r>
        <w:t>Nimmo</w:t>
      </w:r>
      <w:proofErr w:type="spellEnd"/>
      <w:r>
        <w:t xml:space="preserve">, Dr C. </w:t>
      </w:r>
      <w:proofErr w:type="spellStart"/>
      <w:r>
        <w:t>Bletchly</w:t>
      </w:r>
      <w:proofErr w:type="spellEnd"/>
      <w:r>
        <w:t xml:space="preserve">, Ms N. George, and department members, Microbiology Division, Pathology Queensland Central laboratory, Herston </w:t>
      </w:r>
    </w:p>
    <w:p w:rsidR="00E874B4" w:rsidRDefault="00E874B4" w:rsidP="004A3284">
      <w:pPr>
        <w:pStyle w:val="NoSpacing"/>
      </w:pPr>
      <w:r>
        <w:t xml:space="preserve">Dr S. Lambert and members of the Queensland Paediatric Infectious Diseases laboratory, Royal Children’s Hospital, Brisbane </w:t>
      </w:r>
    </w:p>
    <w:p w:rsidR="00E874B4" w:rsidRDefault="00E874B4" w:rsidP="004A3284">
      <w:pPr>
        <w:pStyle w:val="NoSpacing"/>
      </w:pPr>
      <w:r>
        <w:t xml:space="preserve">Dr L Dang and members of Microbiology Department, Sullivan </w:t>
      </w:r>
      <w:proofErr w:type="spellStart"/>
      <w:r>
        <w:t>Nicolaides</w:t>
      </w:r>
      <w:proofErr w:type="spellEnd"/>
      <w:r>
        <w:t xml:space="preserve"> Pathology, Fortitude Valley </w:t>
      </w:r>
    </w:p>
    <w:p w:rsidR="00E874B4" w:rsidRDefault="00E874B4" w:rsidP="004A3284">
      <w:pPr>
        <w:pStyle w:val="NoSpacing"/>
      </w:pPr>
      <w:r>
        <w:t xml:space="preserve">Ms G. Gilmore and members of the Queensland Health laboratory, Townsville </w:t>
      </w:r>
    </w:p>
    <w:p w:rsidR="00E874B4" w:rsidRDefault="00E874B4">
      <w:pPr>
        <w:pStyle w:val="Heading2"/>
        <w:rPr>
          <w:rFonts w:eastAsia="Times New Roman"/>
        </w:rPr>
      </w:pPr>
      <w:r>
        <w:rPr>
          <w:rFonts w:eastAsia="Times New Roman"/>
        </w:rPr>
        <w:t xml:space="preserve">South Australia </w:t>
      </w:r>
    </w:p>
    <w:p w:rsidR="00E874B4" w:rsidRDefault="00E874B4" w:rsidP="004A3284">
      <w:pPr>
        <w:pStyle w:val="NoSpacing"/>
      </w:pPr>
      <w:r>
        <w:t xml:space="preserve">Prof G. Higgins, Ms S. </w:t>
      </w:r>
      <w:proofErr w:type="spellStart"/>
      <w:r>
        <w:t>Schepetiuk</w:t>
      </w:r>
      <w:proofErr w:type="spellEnd"/>
      <w:r>
        <w:t xml:space="preserve">, and members of the Microbiology and Infectious Diseases Laboratory SA Pathology, Adelaide </w:t>
      </w:r>
    </w:p>
    <w:p w:rsidR="00E874B4" w:rsidRDefault="00E874B4">
      <w:pPr>
        <w:pStyle w:val="Heading2"/>
        <w:rPr>
          <w:rFonts w:eastAsia="Times New Roman"/>
        </w:rPr>
      </w:pPr>
      <w:r>
        <w:rPr>
          <w:rFonts w:eastAsia="Times New Roman"/>
        </w:rPr>
        <w:t xml:space="preserve">Tasmania </w:t>
      </w:r>
    </w:p>
    <w:p w:rsidR="00E874B4" w:rsidRDefault="00E874B4" w:rsidP="004A3284">
      <w:pPr>
        <w:pStyle w:val="NoSpacing"/>
      </w:pPr>
      <w:r>
        <w:t xml:space="preserve">Dr J. Williamson and members of Molecular Medicine, Pathology Services, Royal Hobart Hospital, Hobart, Tasmania </w:t>
      </w:r>
    </w:p>
    <w:p w:rsidR="00E874B4" w:rsidRDefault="00E874B4">
      <w:pPr>
        <w:pStyle w:val="Heading2"/>
        <w:rPr>
          <w:rFonts w:eastAsia="Times New Roman"/>
        </w:rPr>
      </w:pPr>
      <w:r>
        <w:rPr>
          <w:rFonts w:eastAsia="Times New Roman"/>
        </w:rPr>
        <w:t xml:space="preserve">Victoria </w:t>
      </w:r>
    </w:p>
    <w:p w:rsidR="00E874B4" w:rsidRDefault="00E874B4" w:rsidP="004A3284">
      <w:pPr>
        <w:pStyle w:val="NoSpacing"/>
      </w:pPr>
      <w:r>
        <w:t xml:space="preserve">Prof J. Buttery, Mrs D. </w:t>
      </w:r>
      <w:proofErr w:type="spellStart"/>
      <w:r>
        <w:t>Kotsanas</w:t>
      </w:r>
      <w:proofErr w:type="spellEnd"/>
      <w:r>
        <w:t>, and members of the Department of Microbiology, Monash Medical Centre,</w:t>
      </w:r>
      <w:r w:rsidR="00FC26AA">
        <w:t> </w:t>
      </w:r>
      <w:r>
        <w:t xml:space="preserve">Clayton </w:t>
      </w:r>
    </w:p>
    <w:p w:rsidR="00E874B4" w:rsidRDefault="00E874B4" w:rsidP="004A3284">
      <w:pPr>
        <w:pStyle w:val="NoSpacing"/>
      </w:pPr>
      <w:r>
        <w:t xml:space="preserve">Miss P. </w:t>
      </w:r>
      <w:proofErr w:type="spellStart"/>
      <w:r>
        <w:t>Adamopolous</w:t>
      </w:r>
      <w:proofErr w:type="spellEnd"/>
      <w:r>
        <w:t xml:space="preserve"> and members of the Serology Department, Royal Children’s Hospital, Parkville </w:t>
      </w:r>
    </w:p>
    <w:p w:rsidR="00E874B4" w:rsidRDefault="00E874B4" w:rsidP="004A3284">
      <w:pPr>
        <w:pStyle w:val="NoSpacing"/>
      </w:pPr>
      <w:r>
        <w:t xml:space="preserve">E. </w:t>
      </w:r>
      <w:proofErr w:type="spellStart"/>
      <w:r>
        <w:t>Hrysoudis</w:t>
      </w:r>
      <w:proofErr w:type="spellEnd"/>
      <w:r>
        <w:t xml:space="preserve">, F. </w:t>
      </w:r>
      <w:proofErr w:type="spellStart"/>
      <w:r>
        <w:t>Gray</w:t>
      </w:r>
      <w:proofErr w:type="spellEnd"/>
      <w:r>
        <w:t>, R. Quach, and members of the Molecular Infectious Department, Australian Clinical Labs,</w:t>
      </w:r>
      <w:r w:rsidR="00661876">
        <w:t> </w:t>
      </w:r>
      <w:r>
        <w:t xml:space="preserve">Clayton </w:t>
      </w:r>
    </w:p>
    <w:p w:rsidR="00E874B4" w:rsidRDefault="00E874B4">
      <w:pPr>
        <w:pStyle w:val="Heading2"/>
        <w:rPr>
          <w:rFonts w:eastAsia="Times New Roman"/>
        </w:rPr>
      </w:pPr>
      <w:r>
        <w:rPr>
          <w:rFonts w:eastAsia="Times New Roman"/>
        </w:rPr>
        <w:t xml:space="preserve">Western Australia </w:t>
      </w:r>
    </w:p>
    <w:p w:rsidR="00E874B4" w:rsidRDefault="00E874B4" w:rsidP="004A3284">
      <w:pPr>
        <w:pStyle w:val="NoSpacing"/>
      </w:pPr>
      <w:r>
        <w:t xml:space="preserve">Prof </w:t>
      </w:r>
      <w:r w:rsidR="007B28A8">
        <w:t xml:space="preserve">D </w:t>
      </w:r>
      <w:r>
        <w:t xml:space="preserve">Smith, Dr A Levy, Mrs J Lang, and members of QEII Microbiology Department, </w:t>
      </w:r>
      <w:proofErr w:type="spellStart"/>
      <w:r>
        <w:t>PathWest</w:t>
      </w:r>
      <w:proofErr w:type="spellEnd"/>
      <w:r>
        <w:t xml:space="preserve"> Laboratory Medicine WA, Perth </w:t>
      </w:r>
    </w:p>
    <w:p w:rsidR="00E874B4" w:rsidRDefault="00E874B4">
      <w:pPr>
        <w:pStyle w:val="Heading1"/>
        <w:rPr>
          <w:rFonts w:eastAsia="Times New Roman"/>
        </w:rPr>
      </w:pPr>
      <w:r>
        <w:rPr>
          <w:rFonts w:eastAsia="Times New Roman"/>
        </w:rPr>
        <w:t xml:space="preserve">Author details </w:t>
      </w:r>
    </w:p>
    <w:p w:rsidR="007B28A8" w:rsidRDefault="00E874B4" w:rsidP="000200FA">
      <w:pPr>
        <w:rPr>
          <w:vertAlign w:val="superscript"/>
        </w:rPr>
      </w:pPr>
      <w:r>
        <w:t>Mrs Susie Roczo-Farkas</w:t>
      </w:r>
      <w:r>
        <w:rPr>
          <w:vertAlign w:val="superscript"/>
        </w:rPr>
        <w:t xml:space="preserve">1 </w:t>
      </w:r>
    </w:p>
    <w:p w:rsidR="007B28A8" w:rsidRDefault="00E874B4" w:rsidP="000200FA">
      <w:pPr>
        <w:rPr>
          <w:vertAlign w:val="superscript"/>
        </w:rPr>
      </w:pPr>
      <w:r>
        <w:t>Dr Daniel Cowley</w:t>
      </w:r>
      <w:r>
        <w:rPr>
          <w:vertAlign w:val="superscript"/>
        </w:rPr>
        <w:t xml:space="preserve">1 </w:t>
      </w:r>
    </w:p>
    <w:p w:rsidR="00E874B4" w:rsidRDefault="00E874B4" w:rsidP="000200FA">
      <w:r>
        <w:t>Prof Julie E Bines</w:t>
      </w:r>
      <w:r>
        <w:rPr>
          <w:vertAlign w:val="superscript"/>
        </w:rPr>
        <w:t>1</w:t>
      </w:r>
      <w:proofErr w:type="gramStart"/>
      <w:r>
        <w:rPr>
          <w:vertAlign w:val="superscript"/>
        </w:rPr>
        <w:t>,2,3</w:t>
      </w:r>
      <w:proofErr w:type="gramEnd"/>
      <w:r>
        <w:rPr>
          <w:vertAlign w:val="superscript"/>
        </w:rPr>
        <w:t xml:space="preserve"> </w:t>
      </w:r>
      <w:r>
        <w:t xml:space="preserve">and the Australian Rotavirus Surveillance Group </w:t>
      </w:r>
    </w:p>
    <w:p w:rsidR="00E874B4" w:rsidRDefault="00E874B4" w:rsidP="00E874B4">
      <w:pPr>
        <w:numPr>
          <w:ilvl w:val="0"/>
          <w:numId w:val="7"/>
        </w:numPr>
        <w:spacing w:before="100" w:beforeAutospacing="1" w:after="100" w:afterAutospacing="1" w:line="240" w:lineRule="auto"/>
        <w:rPr>
          <w:rFonts w:eastAsia="Times New Roman"/>
        </w:rPr>
      </w:pPr>
      <w:r>
        <w:rPr>
          <w:rFonts w:eastAsia="Times New Roman"/>
        </w:rPr>
        <w:t xml:space="preserve">Enteric Diseases Group, Murdoch Children’s Research Institute, Flemington Road, Parkville, Victoria, 3052. </w:t>
      </w:r>
    </w:p>
    <w:p w:rsidR="00E874B4" w:rsidRDefault="00E874B4" w:rsidP="00E874B4">
      <w:pPr>
        <w:numPr>
          <w:ilvl w:val="0"/>
          <w:numId w:val="7"/>
        </w:numPr>
        <w:spacing w:before="100" w:beforeAutospacing="1" w:after="100" w:afterAutospacing="1" w:line="240" w:lineRule="auto"/>
        <w:rPr>
          <w:rFonts w:eastAsia="Times New Roman"/>
        </w:rPr>
      </w:pPr>
      <w:r>
        <w:rPr>
          <w:rFonts w:eastAsia="Times New Roman"/>
        </w:rPr>
        <w:t xml:space="preserve">Department of Paediatrics, University of Melbourne Flemington Road, Parkville, Victoria, 3052. </w:t>
      </w:r>
    </w:p>
    <w:p w:rsidR="00E874B4" w:rsidRDefault="00E874B4" w:rsidP="00E874B4">
      <w:pPr>
        <w:numPr>
          <w:ilvl w:val="0"/>
          <w:numId w:val="7"/>
        </w:numPr>
        <w:spacing w:before="100" w:beforeAutospacing="1" w:after="100" w:afterAutospacing="1" w:line="240" w:lineRule="auto"/>
        <w:rPr>
          <w:rFonts w:eastAsia="Times New Roman"/>
        </w:rPr>
      </w:pPr>
      <w:r>
        <w:rPr>
          <w:rFonts w:eastAsia="Times New Roman"/>
        </w:rPr>
        <w:t xml:space="preserve">Department of Gastroenterology and Clinical Nutrition Flemington Road, Parkville, Victoria, 3052. </w:t>
      </w:r>
    </w:p>
    <w:p w:rsidR="00E874B4" w:rsidRDefault="00E874B4">
      <w:pPr>
        <w:pStyle w:val="Heading2"/>
        <w:rPr>
          <w:rFonts w:eastAsia="Times New Roman"/>
        </w:rPr>
      </w:pPr>
      <w:r>
        <w:rPr>
          <w:rFonts w:eastAsia="Times New Roman"/>
        </w:rPr>
        <w:t xml:space="preserve">Corresponding Author </w:t>
      </w:r>
    </w:p>
    <w:p w:rsidR="00E874B4" w:rsidRDefault="00E874B4" w:rsidP="000200FA">
      <w:r>
        <w:t xml:space="preserve">Mrs Susie Roczo-Farkas Enteric Diseases Group, Level 5, Murdoch Children’s Research Institute Flemington Road Parkville, Victoria, 3052. </w:t>
      </w:r>
      <w:proofErr w:type="spellStart"/>
      <w:r>
        <w:t>Ph</w:t>
      </w:r>
      <w:proofErr w:type="spellEnd"/>
      <w:r>
        <w:t xml:space="preserve">: 03 8341 6383 Email: susie.roczofarkas@mcri.edu.au </w:t>
      </w:r>
    </w:p>
    <w:p w:rsidR="007B28A8" w:rsidRDefault="007B28A8">
      <w:pPr>
        <w:rPr>
          <w:rFonts w:asciiTheme="majorHAnsi" w:eastAsia="Times New Roman" w:hAnsiTheme="majorHAnsi" w:cstheme="majorBidi"/>
          <w:b/>
          <w:bCs/>
          <w:sz w:val="32"/>
          <w:szCs w:val="28"/>
        </w:rPr>
      </w:pPr>
      <w:r>
        <w:rPr>
          <w:rFonts w:eastAsia="Times New Roman"/>
        </w:rPr>
        <w:br w:type="page"/>
      </w:r>
    </w:p>
    <w:p w:rsidR="00E874B4" w:rsidRDefault="00E874B4">
      <w:pPr>
        <w:pStyle w:val="Heading1"/>
        <w:rPr>
          <w:rFonts w:eastAsia="Times New Roman"/>
        </w:rPr>
      </w:pPr>
      <w:r>
        <w:rPr>
          <w:rFonts w:eastAsia="Times New Roman"/>
        </w:rPr>
        <w:lastRenderedPageBreak/>
        <w:t xml:space="preserve">References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Estes M, </w:t>
      </w:r>
      <w:proofErr w:type="spellStart"/>
      <w:r>
        <w:rPr>
          <w:rFonts w:eastAsia="Times New Roman"/>
        </w:rPr>
        <w:t>Kapikian</w:t>
      </w:r>
      <w:proofErr w:type="spellEnd"/>
      <w:r>
        <w:rPr>
          <w:rFonts w:eastAsia="Times New Roman"/>
        </w:rPr>
        <w:t xml:space="preserve"> A. Rotaviruses. In: </w:t>
      </w:r>
      <w:r w:rsidRPr="00A67321">
        <w:rPr>
          <w:rStyle w:val="Emphasis"/>
          <w:rFonts w:eastAsia="Times New Roman"/>
          <w:b w:val="0"/>
        </w:rPr>
        <w:t>Fields virology</w:t>
      </w:r>
      <w:r>
        <w:rPr>
          <w:rFonts w:eastAsia="Times New Roman"/>
        </w:rPr>
        <w:t xml:space="preserve">, 5th ed. Philadelphia: Wolters Kluwer Health/Lippincott Williams &amp; Wilkins; 2007, vol. 1. p. 1917–74.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Moussa A, </w:t>
      </w:r>
      <w:proofErr w:type="spellStart"/>
      <w:r>
        <w:rPr>
          <w:rFonts w:eastAsia="Times New Roman"/>
        </w:rPr>
        <w:t>Fredj</w:t>
      </w:r>
      <w:proofErr w:type="spellEnd"/>
      <w:r>
        <w:rPr>
          <w:rFonts w:eastAsia="Times New Roman"/>
        </w:rPr>
        <w:t xml:space="preserve"> MBH, </w:t>
      </w:r>
      <w:proofErr w:type="spellStart"/>
      <w:r>
        <w:rPr>
          <w:rFonts w:eastAsia="Times New Roman"/>
        </w:rPr>
        <w:t>BenHamida-Rebaï</w:t>
      </w:r>
      <w:proofErr w:type="spellEnd"/>
      <w:r>
        <w:rPr>
          <w:rFonts w:eastAsia="Times New Roman"/>
        </w:rPr>
        <w:t xml:space="preserve"> M, </w:t>
      </w:r>
      <w:proofErr w:type="spellStart"/>
      <w:r>
        <w:rPr>
          <w:rFonts w:eastAsia="Times New Roman"/>
        </w:rPr>
        <w:t>Fodha</w:t>
      </w:r>
      <w:proofErr w:type="spellEnd"/>
      <w:r>
        <w:rPr>
          <w:rFonts w:eastAsia="Times New Roman"/>
        </w:rPr>
        <w:t xml:space="preserve"> I, </w:t>
      </w:r>
      <w:proofErr w:type="spellStart"/>
      <w:r>
        <w:rPr>
          <w:rFonts w:eastAsia="Times New Roman"/>
        </w:rPr>
        <w:t>Boujaafar</w:t>
      </w:r>
      <w:proofErr w:type="spellEnd"/>
      <w:r>
        <w:rPr>
          <w:rFonts w:eastAsia="Times New Roman"/>
        </w:rPr>
        <w:t xml:space="preserve"> N, </w:t>
      </w:r>
      <w:proofErr w:type="spellStart"/>
      <w:r>
        <w:rPr>
          <w:rFonts w:eastAsia="Times New Roman"/>
        </w:rPr>
        <w:t>Trabelsi</w:t>
      </w:r>
      <w:proofErr w:type="spellEnd"/>
      <w:r>
        <w:rPr>
          <w:rFonts w:eastAsia="Times New Roman"/>
        </w:rPr>
        <w:t xml:space="preserve"> A. Phylogenetic analysis of partial VP7 gene of the emerging human group </w:t>
      </w:r>
      <w:proofErr w:type="gramStart"/>
      <w:r>
        <w:rPr>
          <w:rFonts w:eastAsia="Times New Roman"/>
        </w:rPr>
        <w:t>A</w:t>
      </w:r>
      <w:proofErr w:type="gramEnd"/>
      <w:r>
        <w:rPr>
          <w:rFonts w:eastAsia="Times New Roman"/>
        </w:rPr>
        <w:t xml:space="preserve"> rotavirus G12 strains circulating in Tunisia. </w:t>
      </w:r>
      <w:r w:rsidRPr="00A67321">
        <w:rPr>
          <w:rStyle w:val="Emphasis"/>
          <w:rFonts w:eastAsia="Times New Roman"/>
          <w:b w:val="0"/>
        </w:rPr>
        <w:t xml:space="preserve">J Med </w:t>
      </w:r>
      <w:proofErr w:type="spellStart"/>
      <w:r w:rsidRPr="00A67321">
        <w:rPr>
          <w:rStyle w:val="Emphasis"/>
          <w:rFonts w:eastAsia="Times New Roman"/>
          <w:b w:val="0"/>
        </w:rPr>
        <w:t>Microbiol</w:t>
      </w:r>
      <w:proofErr w:type="spellEnd"/>
      <w:r>
        <w:rPr>
          <w:rFonts w:eastAsia="Times New Roman"/>
        </w:rPr>
        <w:t>. 2017</w:t>
      </w:r>
      <w:proofErr w:type="gramStart"/>
      <w:r>
        <w:rPr>
          <w:rFonts w:eastAsia="Times New Roman"/>
        </w:rPr>
        <w:t>;66</w:t>
      </w:r>
      <w:proofErr w:type="gramEnd"/>
      <w:r>
        <w:rPr>
          <w:rFonts w:eastAsia="Times New Roman"/>
        </w:rPr>
        <w:t xml:space="preserve">(2):112–8.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Tate JE, Burton AH, </w:t>
      </w:r>
      <w:proofErr w:type="spellStart"/>
      <w:r>
        <w:rPr>
          <w:rFonts w:eastAsia="Times New Roman"/>
        </w:rPr>
        <w:t>Boschi</w:t>
      </w:r>
      <w:proofErr w:type="spellEnd"/>
      <w:r>
        <w:rPr>
          <w:rFonts w:eastAsia="Times New Roman"/>
        </w:rPr>
        <w:t xml:space="preserve">-Pinto C, </w:t>
      </w:r>
      <w:proofErr w:type="spellStart"/>
      <w:r>
        <w:rPr>
          <w:rFonts w:eastAsia="Times New Roman"/>
        </w:rPr>
        <w:t>Parashar</w:t>
      </w:r>
      <w:proofErr w:type="spellEnd"/>
      <w:r>
        <w:rPr>
          <w:rFonts w:eastAsia="Times New Roman"/>
        </w:rPr>
        <w:t xml:space="preserve"> UD. Global, Regional, and National Estimates of Rotavirus Mortality in Children &lt;5 Years of Age, 2000–2013. </w:t>
      </w:r>
      <w:proofErr w:type="spellStart"/>
      <w:r w:rsidRPr="00A67321">
        <w:rPr>
          <w:rStyle w:val="Emphasis"/>
          <w:rFonts w:eastAsia="Times New Roman"/>
          <w:b w:val="0"/>
        </w:rPr>
        <w:t>Clin</w:t>
      </w:r>
      <w:proofErr w:type="spellEnd"/>
      <w:r w:rsidRPr="00A67321">
        <w:rPr>
          <w:rStyle w:val="Emphasis"/>
          <w:rFonts w:eastAsia="Times New Roman"/>
          <w:b w:val="0"/>
        </w:rPr>
        <w:t xml:space="preserve"> Infect Dis</w:t>
      </w:r>
      <w:r>
        <w:rPr>
          <w:rFonts w:eastAsia="Times New Roman"/>
        </w:rPr>
        <w:t>. 2016</w:t>
      </w:r>
      <w:proofErr w:type="gramStart"/>
      <w:r>
        <w:rPr>
          <w:rFonts w:eastAsia="Times New Roman"/>
        </w:rPr>
        <w:t>;62</w:t>
      </w:r>
      <w:proofErr w:type="gramEnd"/>
      <w:r>
        <w:rPr>
          <w:rFonts w:eastAsia="Times New Roman"/>
        </w:rPr>
        <w:t>(</w:t>
      </w:r>
      <w:proofErr w:type="spellStart"/>
      <w:r>
        <w:rPr>
          <w:rFonts w:eastAsia="Times New Roman"/>
        </w:rPr>
        <w:t>Suppl</w:t>
      </w:r>
      <w:proofErr w:type="spellEnd"/>
      <w:r>
        <w:rPr>
          <w:rFonts w:eastAsia="Times New Roman"/>
        </w:rPr>
        <w:t xml:space="preserve"> 2):S96–105.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Parashar</w:t>
      </w:r>
      <w:proofErr w:type="spellEnd"/>
      <w:r>
        <w:rPr>
          <w:rFonts w:eastAsia="Times New Roman"/>
        </w:rPr>
        <w:t xml:space="preserve"> UD, Gibson CJ, </w:t>
      </w:r>
      <w:proofErr w:type="spellStart"/>
      <w:r>
        <w:rPr>
          <w:rFonts w:eastAsia="Times New Roman"/>
        </w:rPr>
        <w:t>Bresee</w:t>
      </w:r>
      <w:proofErr w:type="spellEnd"/>
      <w:r>
        <w:rPr>
          <w:rFonts w:eastAsia="Times New Roman"/>
        </w:rPr>
        <w:t xml:space="preserve"> JS, Glass RI. Rotavirus and severe childhood </w:t>
      </w:r>
      <w:proofErr w:type="spellStart"/>
      <w:r>
        <w:rPr>
          <w:rFonts w:eastAsia="Times New Roman"/>
        </w:rPr>
        <w:t>diarrhea</w:t>
      </w:r>
      <w:proofErr w:type="spellEnd"/>
      <w:r>
        <w:rPr>
          <w:rFonts w:eastAsia="Times New Roman"/>
        </w:rPr>
        <w:t xml:space="preserve">. </w:t>
      </w:r>
      <w:proofErr w:type="spellStart"/>
      <w:r w:rsidRPr="00A67321">
        <w:rPr>
          <w:rStyle w:val="Emphasis"/>
          <w:rFonts w:eastAsia="Times New Roman"/>
          <w:b w:val="0"/>
        </w:rPr>
        <w:t>Emerg</w:t>
      </w:r>
      <w:proofErr w:type="spellEnd"/>
      <w:r w:rsidRPr="00A67321">
        <w:rPr>
          <w:rStyle w:val="Emphasis"/>
          <w:rFonts w:eastAsia="Times New Roman"/>
          <w:b w:val="0"/>
        </w:rPr>
        <w:t xml:space="preserve"> Infect Dis</w:t>
      </w:r>
      <w:r>
        <w:rPr>
          <w:rFonts w:eastAsia="Times New Roman"/>
        </w:rPr>
        <w:t>. 2006</w:t>
      </w:r>
      <w:proofErr w:type="gramStart"/>
      <w:r>
        <w:rPr>
          <w:rFonts w:eastAsia="Times New Roman"/>
        </w:rPr>
        <w:t>;12</w:t>
      </w:r>
      <w:proofErr w:type="gramEnd"/>
      <w:r>
        <w:rPr>
          <w:rFonts w:eastAsia="Times New Roman"/>
        </w:rPr>
        <w:t xml:space="preserve">(2):304–6.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Vesikari</w:t>
      </w:r>
      <w:proofErr w:type="spellEnd"/>
      <w:r>
        <w:rPr>
          <w:rFonts w:eastAsia="Times New Roman"/>
        </w:rPr>
        <w:t xml:space="preserve"> T, Matson DO, </w:t>
      </w:r>
      <w:proofErr w:type="spellStart"/>
      <w:r>
        <w:rPr>
          <w:rFonts w:eastAsia="Times New Roman"/>
        </w:rPr>
        <w:t>Dennehy</w:t>
      </w:r>
      <w:proofErr w:type="spellEnd"/>
      <w:r>
        <w:rPr>
          <w:rFonts w:eastAsia="Times New Roman"/>
        </w:rPr>
        <w:t xml:space="preserve"> P, Van </w:t>
      </w:r>
      <w:proofErr w:type="spellStart"/>
      <w:r>
        <w:rPr>
          <w:rFonts w:eastAsia="Times New Roman"/>
        </w:rPr>
        <w:t>Damme</w:t>
      </w:r>
      <w:proofErr w:type="spellEnd"/>
      <w:r>
        <w:rPr>
          <w:rFonts w:eastAsia="Times New Roman"/>
        </w:rPr>
        <w:t xml:space="preserve"> P, </w:t>
      </w:r>
      <w:proofErr w:type="spellStart"/>
      <w:r>
        <w:rPr>
          <w:rFonts w:eastAsia="Times New Roman"/>
        </w:rPr>
        <w:t>Santosham</w:t>
      </w:r>
      <w:proofErr w:type="spellEnd"/>
      <w:r>
        <w:rPr>
          <w:rFonts w:eastAsia="Times New Roman"/>
        </w:rPr>
        <w:t xml:space="preserve"> M, Rodriguez Z, et al. Safety and efficacy of a pentavalent human-bovine (WC3) </w:t>
      </w:r>
      <w:proofErr w:type="spellStart"/>
      <w:r>
        <w:rPr>
          <w:rFonts w:eastAsia="Times New Roman"/>
        </w:rPr>
        <w:t>reassortant</w:t>
      </w:r>
      <w:proofErr w:type="spellEnd"/>
      <w:r>
        <w:rPr>
          <w:rFonts w:eastAsia="Times New Roman"/>
        </w:rPr>
        <w:t xml:space="preserve"> rotavirus vaccine. </w:t>
      </w:r>
      <w:r w:rsidRPr="00A67321">
        <w:rPr>
          <w:rStyle w:val="Emphasis"/>
          <w:rFonts w:eastAsia="Times New Roman"/>
          <w:b w:val="0"/>
        </w:rPr>
        <w:t xml:space="preserve">N </w:t>
      </w:r>
      <w:proofErr w:type="spellStart"/>
      <w:r w:rsidRPr="00A67321">
        <w:rPr>
          <w:rStyle w:val="Emphasis"/>
          <w:rFonts w:eastAsia="Times New Roman"/>
          <w:b w:val="0"/>
        </w:rPr>
        <w:t>Engl</w:t>
      </w:r>
      <w:proofErr w:type="spellEnd"/>
      <w:r w:rsidRPr="00A67321">
        <w:rPr>
          <w:rStyle w:val="Emphasis"/>
          <w:rFonts w:eastAsia="Times New Roman"/>
          <w:b w:val="0"/>
        </w:rPr>
        <w:t xml:space="preserve"> J Med</w:t>
      </w:r>
      <w:r>
        <w:rPr>
          <w:rFonts w:eastAsia="Times New Roman"/>
        </w:rPr>
        <w:t>. 2006</w:t>
      </w:r>
      <w:proofErr w:type="gramStart"/>
      <w:r>
        <w:rPr>
          <w:rFonts w:eastAsia="Times New Roman"/>
        </w:rPr>
        <w:t>;354</w:t>
      </w:r>
      <w:proofErr w:type="gramEnd"/>
      <w:r>
        <w:rPr>
          <w:rFonts w:eastAsia="Times New Roman"/>
        </w:rPr>
        <w:t xml:space="preserve">(1):23–33.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Ruiz-Palacios GM, Pérez-</w:t>
      </w:r>
      <w:proofErr w:type="spellStart"/>
      <w:r>
        <w:rPr>
          <w:rFonts w:eastAsia="Times New Roman"/>
        </w:rPr>
        <w:t>Schael</w:t>
      </w:r>
      <w:proofErr w:type="spellEnd"/>
      <w:r>
        <w:rPr>
          <w:rFonts w:eastAsia="Times New Roman"/>
        </w:rPr>
        <w:t xml:space="preserve"> I, Velázquez FR, Abate H, Breuer T, Clemens SC, et al. Safety and efficacy of an attenuated vaccine against severe rotavirus gastroenteritis. </w:t>
      </w:r>
      <w:r w:rsidRPr="00A67321">
        <w:rPr>
          <w:rStyle w:val="Emphasis"/>
          <w:rFonts w:eastAsia="Times New Roman"/>
          <w:b w:val="0"/>
        </w:rPr>
        <w:t xml:space="preserve">N </w:t>
      </w:r>
      <w:proofErr w:type="spellStart"/>
      <w:r w:rsidRPr="00A67321">
        <w:rPr>
          <w:rStyle w:val="Emphasis"/>
          <w:rFonts w:eastAsia="Times New Roman"/>
          <w:b w:val="0"/>
        </w:rPr>
        <w:t>Engl</w:t>
      </w:r>
      <w:proofErr w:type="spellEnd"/>
      <w:r w:rsidRPr="00A67321">
        <w:rPr>
          <w:rStyle w:val="Emphasis"/>
          <w:rFonts w:eastAsia="Times New Roman"/>
          <w:b w:val="0"/>
        </w:rPr>
        <w:t xml:space="preserve"> J Med</w:t>
      </w:r>
      <w:r>
        <w:rPr>
          <w:rFonts w:eastAsia="Times New Roman"/>
        </w:rPr>
        <w:t>. 2006</w:t>
      </w:r>
      <w:proofErr w:type="gramStart"/>
      <w:r>
        <w:rPr>
          <w:rFonts w:eastAsia="Times New Roman"/>
        </w:rPr>
        <w:t>;354</w:t>
      </w:r>
      <w:proofErr w:type="gramEnd"/>
      <w:r>
        <w:rPr>
          <w:rFonts w:eastAsia="Times New Roman"/>
        </w:rPr>
        <w:t xml:space="preserve">(1):11–22.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IVB/WHO. Vaccine in National Immunization Programme Update [Available from: www.who.int/immunization/monitoring_surveillance/VaccineIntroStatus.pptx?ua=</w:t>
      </w:r>
      <w:proofErr w:type="gramStart"/>
      <w:r>
        <w:rPr>
          <w:rFonts w:eastAsia="Times New Roman"/>
        </w:rPr>
        <w:t>1 ]</w:t>
      </w:r>
      <w:proofErr w:type="gramEnd"/>
      <w:r>
        <w:rPr>
          <w:rFonts w:eastAsia="Times New Roman"/>
        </w:rPr>
        <w:t xml:space="preserve">.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Buttery JP, Lambert SB, </w:t>
      </w:r>
      <w:proofErr w:type="spellStart"/>
      <w:r>
        <w:rPr>
          <w:rFonts w:eastAsia="Times New Roman"/>
        </w:rPr>
        <w:t>Grimwood</w:t>
      </w:r>
      <w:proofErr w:type="spellEnd"/>
      <w:r>
        <w:rPr>
          <w:rFonts w:eastAsia="Times New Roman"/>
        </w:rPr>
        <w:t xml:space="preserve"> K, </w:t>
      </w:r>
      <w:proofErr w:type="spellStart"/>
      <w:r>
        <w:rPr>
          <w:rFonts w:eastAsia="Times New Roman"/>
        </w:rPr>
        <w:t>Nissen</w:t>
      </w:r>
      <w:proofErr w:type="spellEnd"/>
      <w:r>
        <w:rPr>
          <w:rFonts w:eastAsia="Times New Roman"/>
        </w:rPr>
        <w:t xml:space="preserve"> MD, Field EJ, </w:t>
      </w:r>
      <w:proofErr w:type="spellStart"/>
      <w:r>
        <w:rPr>
          <w:rFonts w:eastAsia="Times New Roman"/>
        </w:rPr>
        <w:t>Macartney</w:t>
      </w:r>
      <w:proofErr w:type="spellEnd"/>
      <w:r>
        <w:rPr>
          <w:rFonts w:eastAsia="Times New Roman"/>
        </w:rPr>
        <w:t xml:space="preserve"> KK, et al. Reduction in rotavirus-associated acute gastroenteritis following introduction of rotavirus vaccine into Australia’s National Childhood vaccine schedule. </w:t>
      </w:r>
      <w:proofErr w:type="spellStart"/>
      <w:r w:rsidRPr="00A67321">
        <w:rPr>
          <w:rStyle w:val="Emphasis"/>
          <w:rFonts w:eastAsia="Times New Roman"/>
          <w:b w:val="0"/>
        </w:rPr>
        <w:t>Pediatr</w:t>
      </w:r>
      <w:proofErr w:type="spellEnd"/>
      <w:r w:rsidRPr="00A67321">
        <w:rPr>
          <w:rStyle w:val="Emphasis"/>
          <w:rFonts w:eastAsia="Times New Roman"/>
          <w:b w:val="0"/>
        </w:rPr>
        <w:t xml:space="preserve"> Infect Dis J</w:t>
      </w:r>
      <w:r>
        <w:rPr>
          <w:rFonts w:eastAsia="Times New Roman"/>
        </w:rPr>
        <w:t>. 2011</w:t>
      </w:r>
      <w:proofErr w:type="gramStart"/>
      <w:r>
        <w:rPr>
          <w:rFonts w:eastAsia="Times New Roman"/>
        </w:rPr>
        <w:t>;30</w:t>
      </w:r>
      <w:proofErr w:type="gramEnd"/>
      <w:r>
        <w:rPr>
          <w:rFonts w:eastAsia="Times New Roman"/>
        </w:rPr>
        <w:t xml:space="preserve">(1 </w:t>
      </w:r>
      <w:proofErr w:type="spellStart"/>
      <w:r>
        <w:rPr>
          <w:rFonts w:eastAsia="Times New Roman"/>
        </w:rPr>
        <w:t>Suppl</w:t>
      </w:r>
      <w:proofErr w:type="spellEnd"/>
      <w:r>
        <w:rPr>
          <w:rFonts w:eastAsia="Times New Roman"/>
        </w:rPr>
        <w:t xml:space="preserve">):S25–9.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Health </w:t>
      </w:r>
      <w:proofErr w:type="spellStart"/>
      <w:r>
        <w:rPr>
          <w:rFonts w:eastAsia="Times New Roman"/>
        </w:rPr>
        <w:t>AGDo</w:t>
      </w:r>
      <w:proofErr w:type="spellEnd"/>
      <w:r>
        <w:rPr>
          <w:rFonts w:eastAsia="Times New Roman"/>
        </w:rPr>
        <w:t xml:space="preserve">. Clinical update: ATAGI advice on </w:t>
      </w:r>
      <w:proofErr w:type="spellStart"/>
      <w:r>
        <w:rPr>
          <w:rFonts w:eastAsia="Times New Roman"/>
        </w:rPr>
        <w:t>Rotarix</w:t>
      </w:r>
      <w:proofErr w:type="spellEnd"/>
      <w:r>
        <w:rPr>
          <w:rFonts w:eastAsia="Times New Roman"/>
          <w:vertAlign w:val="superscript"/>
        </w:rPr>
        <w:t>®</w:t>
      </w:r>
      <w:r>
        <w:rPr>
          <w:rFonts w:eastAsia="Times New Roman"/>
        </w:rPr>
        <w:t xml:space="preserve"> to replace </w:t>
      </w:r>
      <w:proofErr w:type="spellStart"/>
      <w:r>
        <w:rPr>
          <w:rFonts w:eastAsia="Times New Roman"/>
        </w:rPr>
        <w:t>RotaTeq</w:t>
      </w:r>
      <w:proofErr w:type="spellEnd"/>
      <w:r>
        <w:rPr>
          <w:rFonts w:eastAsia="Times New Roman"/>
          <w:vertAlign w:val="superscript"/>
        </w:rPr>
        <w:t>®</w:t>
      </w:r>
      <w:r>
        <w:rPr>
          <w:rFonts w:eastAsia="Times New Roman"/>
        </w:rPr>
        <w:t xml:space="preserve"> 2017 [Available from: https://beta.health.gov.au/news-and-events/news/clinical-update-atagi-advice-on-rotarixr-to-replace-</w:t>
      </w:r>
      <w:proofErr w:type="gramStart"/>
      <w:r>
        <w:rPr>
          <w:rFonts w:eastAsia="Times New Roman"/>
        </w:rPr>
        <w:t>rotateqr ]</w:t>
      </w:r>
      <w:proofErr w:type="gramEnd"/>
      <w:r>
        <w:rPr>
          <w:rFonts w:eastAsia="Times New Roman"/>
        </w:rPr>
        <w:t xml:space="preserve">.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Macartney</w:t>
      </w:r>
      <w:proofErr w:type="spellEnd"/>
      <w:r>
        <w:rPr>
          <w:rFonts w:eastAsia="Times New Roman"/>
        </w:rPr>
        <w:t xml:space="preserve"> K, Dey A, Wang H, Quinn H, Wood N, McIntyre P. Ten years of rotavirus immunisation in Australia: sustained benefits outweigh vaccine-associated risks (Poster). In: 12th International Rotavirus Symposium; Melbourne, Australia; 2016.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Reyes JF, Wood JG, </w:t>
      </w:r>
      <w:proofErr w:type="spellStart"/>
      <w:r>
        <w:rPr>
          <w:rFonts w:eastAsia="Times New Roman"/>
        </w:rPr>
        <w:t>Beutels</w:t>
      </w:r>
      <w:proofErr w:type="spellEnd"/>
      <w:r>
        <w:rPr>
          <w:rFonts w:eastAsia="Times New Roman"/>
        </w:rPr>
        <w:t xml:space="preserve"> P, </w:t>
      </w:r>
      <w:proofErr w:type="spellStart"/>
      <w:r>
        <w:rPr>
          <w:rFonts w:eastAsia="Times New Roman"/>
        </w:rPr>
        <w:t>Macartney</w:t>
      </w:r>
      <w:proofErr w:type="spellEnd"/>
      <w:r>
        <w:rPr>
          <w:rFonts w:eastAsia="Times New Roman"/>
        </w:rPr>
        <w:t xml:space="preserve"> K, McIntyre P, Menzies R, et al. Beyond expectations: Post-implementation data shows rotavirus vaccination is likely cost-saving in Australia. </w:t>
      </w:r>
      <w:r w:rsidRPr="00A67321">
        <w:rPr>
          <w:rStyle w:val="Emphasis"/>
          <w:rFonts w:eastAsia="Times New Roman"/>
          <w:b w:val="0"/>
        </w:rPr>
        <w:t>Vaccine</w:t>
      </w:r>
      <w:r>
        <w:rPr>
          <w:rFonts w:eastAsia="Times New Roman"/>
        </w:rPr>
        <w:t>. 2017</w:t>
      </w:r>
      <w:proofErr w:type="gramStart"/>
      <w:r>
        <w:rPr>
          <w:rFonts w:eastAsia="Times New Roman"/>
        </w:rPr>
        <w:t>;35</w:t>
      </w:r>
      <w:proofErr w:type="gramEnd"/>
      <w:r>
        <w:rPr>
          <w:rFonts w:eastAsia="Times New Roman"/>
        </w:rPr>
        <w:t xml:space="preserve">(2):345–52.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Kirkwood CD, Boniface K, </w:t>
      </w:r>
      <w:proofErr w:type="spellStart"/>
      <w:r>
        <w:rPr>
          <w:rFonts w:eastAsia="Times New Roman"/>
        </w:rPr>
        <w:t>Bogdanovic-Sakran</w:t>
      </w:r>
      <w:proofErr w:type="spellEnd"/>
      <w:r>
        <w:rPr>
          <w:rFonts w:eastAsia="Times New Roman"/>
        </w:rPr>
        <w:t xml:space="preserve"> N, </w:t>
      </w:r>
      <w:proofErr w:type="spellStart"/>
      <w:r>
        <w:rPr>
          <w:rFonts w:eastAsia="Times New Roman"/>
        </w:rPr>
        <w:t>Masendycz</w:t>
      </w:r>
      <w:proofErr w:type="spellEnd"/>
      <w:r>
        <w:rPr>
          <w:rFonts w:eastAsia="Times New Roman"/>
        </w:rPr>
        <w:t xml:space="preserve"> P, Barnes GL, Bishop RF. Rotavirus strain surveillance—an Australian perspective of strains causing disease in hospitalised children from 1997 to 2007. </w:t>
      </w:r>
      <w:r w:rsidRPr="00A67321">
        <w:rPr>
          <w:rStyle w:val="Emphasis"/>
          <w:rFonts w:eastAsia="Times New Roman"/>
          <w:b w:val="0"/>
        </w:rPr>
        <w:t>Vaccine</w:t>
      </w:r>
      <w:r>
        <w:rPr>
          <w:rFonts w:eastAsia="Times New Roman"/>
        </w:rPr>
        <w:t>. 2009</w:t>
      </w:r>
      <w:proofErr w:type="gramStart"/>
      <w:r>
        <w:rPr>
          <w:rFonts w:eastAsia="Times New Roman"/>
        </w:rPr>
        <w:t>;27</w:t>
      </w:r>
      <w:proofErr w:type="gramEnd"/>
      <w:r>
        <w:rPr>
          <w:rFonts w:eastAsia="Times New Roman"/>
        </w:rPr>
        <w:t>(</w:t>
      </w:r>
      <w:proofErr w:type="spellStart"/>
      <w:r>
        <w:rPr>
          <w:rFonts w:eastAsia="Times New Roman"/>
        </w:rPr>
        <w:t>Suppl</w:t>
      </w:r>
      <w:proofErr w:type="spellEnd"/>
      <w:r>
        <w:rPr>
          <w:rFonts w:eastAsia="Times New Roman"/>
        </w:rPr>
        <w:t xml:space="preserve"> 5):F102–7.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Gentsch</w:t>
      </w:r>
      <w:proofErr w:type="spellEnd"/>
      <w:r>
        <w:rPr>
          <w:rFonts w:eastAsia="Times New Roman"/>
        </w:rPr>
        <w:t xml:space="preserve"> JR, Glass RI, Woods P, </w:t>
      </w:r>
      <w:proofErr w:type="spellStart"/>
      <w:r>
        <w:rPr>
          <w:rFonts w:eastAsia="Times New Roman"/>
        </w:rPr>
        <w:t>Gouvea</w:t>
      </w:r>
      <w:proofErr w:type="spellEnd"/>
      <w:r>
        <w:rPr>
          <w:rFonts w:eastAsia="Times New Roman"/>
        </w:rPr>
        <w:t xml:space="preserve"> V, </w:t>
      </w:r>
      <w:proofErr w:type="spellStart"/>
      <w:r>
        <w:rPr>
          <w:rFonts w:eastAsia="Times New Roman"/>
        </w:rPr>
        <w:t>Gorziglia</w:t>
      </w:r>
      <w:proofErr w:type="spellEnd"/>
      <w:r>
        <w:rPr>
          <w:rFonts w:eastAsia="Times New Roman"/>
        </w:rPr>
        <w:t xml:space="preserve"> M, Flores J, et al. Identification of group A rotavirus gene 4 types by polymerase chain reaction. </w:t>
      </w:r>
      <w:r w:rsidRPr="00A67321">
        <w:rPr>
          <w:rStyle w:val="Emphasis"/>
          <w:rFonts w:eastAsia="Times New Roman"/>
          <w:b w:val="0"/>
        </w:rPr>
        <w:t xml:space="preserve">J </w:t>
      </w:r>
      <w:proofErr w:type="spellStart"/>
      <w:r w:rsidRPr="00A67321">
        <w:rPr>
          <w:rStyle w:val="Emphasis"/>
          <w:rFonts w:eastAsia="Times New Roman"/>
          <w:b w:val="0"/>
        </w:rPr>
        <w:t>Clin</w:t>
      </w:r>
      <w:proofErr w:type="spellEnd"/>
      <w:r w:rsidRPr="00A67321">
        <w:rPr>
          <w:rStyle w:val="Emphasis"/>
          <w:rFonts w:eastAsia="Times New Roman"/>
          <w:b w:val="0"/>
        </w:rPr>
        <w:t xml:space="preserve"> </w:t>
      </w:r>
      <w:proofErr w:type="spellStart"/>
      <w:r w:rsidRPr="00A67321">
        <w:rPr>
          <w:rStyle w:val="Emphasis"/>
          <w:rFonts w:eastAsia="Times New Roman"/>
          <w:b w:val="0"/>
        </w:rPr>
        <w:t>Microbiol</w:t>
      </w:r>
      <w:proofErr w:type="spellEnd"/>
      <w:r>
        <w:rPr>
          <w:rFonts w:eastAsia="Times New Roman"/>
        </w:rPr>
        <w:t>. 1992</w:t>
      </w:r>
      <w:proofErr w:type="gramStart"/>
      <w:r>
        <w:rPr>
          <w:rFonts w:eastAsia="Times New Roman"/>
        </w:rPr>
        <w:t>;30</w:t>
      </w:r>
      <w:proofErr w:type="gramEnd"/>
      <w:r>
        <w:rPr>
          <w:rFonts w:eastAsia="Times New Roman"/>
        </w:rPr>
        <w:t xml:space="preserve">(6):1365–73.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Gouvea</w:t>
      </w:r>
      <w:proofErr w:type="spellEnd"/>
      <w:r>
        <w:rPr>
          <w:rFonts w:eastAsia="Times New Roman"/>
        </w:rPr>
        <w:t xml:space="preserve"> V, Glass RI, Woods P, Taniguchi K, Clark HF, Forrester B, et al. Polymerase chain reaction amplification and typing of rotavirus nucleic acid from stool specimens. </w:t>
      </w:r>
      <w:r w:rsidRPr="00A67321">
        <w:rPr>
          <w:rStyle w:val="Emphasis"/>
          <w:rFonts w:eastAsia="Times New Roman"/>
          <w:b w:val="0"/>
        </w:rPr>
        <w:t xml:space="preserve">J </w:t>
      </w:r>
      <w:proofErr w:type="spellStart"/>
      <w:r w:rsidRPr="00A67321">
        <w:rPr>
          <w:rStyle w:val="Emphasis"/>
          <w:rFonts w:eastAsia="Times New Roman"/>
          <w:b w:val="0"/>
        </w:rPr>
        <w:t>Clin</w:t>
      </w:r>
      <w:proofErr w:type="spellEnd"/>
      <w:r w:rsidRPr="00A67321">
        <w:rPr>
          <w:rStyle w:val="Emphasis"/>
          <w:rFonts w:eastAsia="Times New Roman"/>
          <w:b w:val="0"/>
        </w:rPr>
        <w:t xml:space="preserve"> </w:t>
      </w:r>
      <w:proofErr w:type="spellStart"/>
      <w:r w:rsidRPr="00A67321">
        <w:rPr>
          <w:rStyle w:val="Emphasis"/>
          <w:rFonts w:eastAsia="Times New Roman"/>
          <w:b w:val="0"/>
        </w:rPr>
        <w:t>Microbiol</w:t>
      </w:r>
      <w:proofErr w:type="spellEnd"/>
      <w:r>
        <w:rPr>
          <w:rFonts w:eastAsia="Times New Roman"/>
        </w:rPr>
        <w:t>. 1990</w:t>
      </w:r>
      <w:proofErr w:type="gramStart"/>
      <w:r>
        <w:rPr>
          <w:rFonts w:eastAsia="Times New Roman"/>
        </w:rPr>
        <w:t>;28</w:t>
      </w:r>
      <w:proofErr w:type="gramEnd"/>
      <w:r>
        <w:rPr>
          <w:rFonts w:eastAsia="Times New Roman"/>
        </w:rPr>
        <w:t xml:space="preserve">(2):276–82.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Itturiza-Gómara</w:t>
      </w:r>
      <w:proofErr w:type="spellEnd"/>
      <w:r>
        <w:rPr>
          <w:rFonts w:eastAsia="Times New Roman"/>
        </w:rPr>
        <w:t xml:space="preserve"> M, </w:t>
      </w:r>
      <w:proofErr w:type="spellStart"/>
      <w:r>
        <w:rPr>
          <w:rFonts w:eastAsia="Times New Roman"/>
        </w:rPr>
        <w:t>Cubitt</w:t>
      </w:r>
      <w:proofErr w:type="spellEnd"/>
      <w:r>
        <w:rPr>
          <w:rFonts w:eastAsia="Times New Roman"/>
        </w:rPr>
        <w:t xml:space="preserve"> D, </w:t>
      </w:r>
      <w:proofErr w:type="spellStart"/>
      <w:r>
        <w:rPr>
          <w:rFonts w:eastAsia="Times New Roman"/>
        </w:rPr>
        <w:t>Desselberger</w:t>
      </w:r>
      <w:proofErr w:type="spellEnd"/>
      <w:r>
        <w:rPr>
          <w:rFonts w:eastAsia="Times New Roman"/>
        </w:rPr>
        <w:t xml:space="preserve"> U, </w:t>
      </w:r>
      <w:proofErr w:type="spellStart"/>
      <w:r>
        <w:rPr>
          <w:rFonts w:eastAsia="Times New Roman"/>
        </w:rPr>
        <w:t>Gray</w:t>
      </w:r>
      <w:proofErr w:type="spellEnd"/>
      <w:r>
        <w:rPr>
          <w:rFonts w:eastAsia="Times New Roman"/>
        </w:rPr>
        <w:t xml:space="preserve"> J. Amino acid substitution within the VP7 protein of G2 rotavirus strains associated with failure to serotype. </w:t>
      </w:r>
      <w:r w:rsidRPr="00A67321">
        <w:rPr>
          <w:rStyle w:val="Emphasis"/>
          <w:rFonts w:eastAsia="Times New Roman"/>
          <w:b w:val="0"/>
        </w:rPr>
        <w:t xml:space="preserve">J </w:t>
      </w:r>
      <w:proofErr w:type="spellStart"/>
      <w:r w:rsidRPr="00A67321">
        <w:rPr>
          <w:rStyle w:val="Emphasis"/>
          <w:rFonts w:eastAsia="Times New Roman"/>
          <w:b w:val="0"/>
        </w:rPr>
        <w:t>Clin</w:t>
      </w:r>
      <w:proofErr w:type="spellEnd"/>
      <w:r w:rsidRPr="00A67321">
        <w:rPr>
          <w:rStyle w:val="Emphasis"/>
          <w:rFonts w:eastAsia="Times New Roman"/>
          <w:b w:val="0"/>
        </w:rPr>
        <w:t xml:space="preserve"> </w:t>
      </w:r>
      <w:proofErr w:type="spellStart"/>
      <w:r w:rsidRPr="00A67321">
        <w:rPr>
          <w:rStyle w:val="Emphasis"/>
          <w:rFonts w:eastAsia="Times New Roman"/>
          <w:b w:val="0"/>
        </w:rPr>
        <w:t>Microbiol</w:t>
      </w:r>
      <w:proofErr w:type="spellEnd"/>
      <w:r>
        <w:rPr>
          <w:rFonts w:eastAsia="Times New Roman"/>
        </w:rPr>
        <w:t>. 2001</w:t>
      </w:r>
      <w:proofErr w:type="gramStart"/>
      <w:r>
        <w:rPr>
          <w:rFonts w:eastAsia="Times New Roman"/>
        </w:rPr>
        <w:t>;39</w:t>
      </w:r>
      <w:proofErr w:type="gramEnd"/>
      <w:r>
        <w:rPr>
          <w:rFonts w:eastAsia="Times New Roman"/>
        </w:rPr>
        <w:t xml:space="preserve">(10):3796–8.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Simmonds MK, </w:t>
      </w:r>
      <w:proofErr w:type="spellStart"/>
      <w:r>
        <w:rPr>
          <w:rFonts w:eastAsia="Times New Roman"/>
        </w:rPr>
        <w:t>Armah</w:t>
      </w:r>
      <w:proofErr w:type="spellEnd"/>
      <w:r>
        <w:rPr>
          <w:rFonts w:eastAsia="Times New Roman"/>
        </w:rPr>
        <w:t xml:space="preserve"> G, </w:t>
      </w:r>
      <w:proofErr w:type="spellStart"/>
      <w:r>
        <w:rPr>
          <w:rFonts w:eastAsia="Times New Roman"/>
        </w:rPr>
        <w:t>Asmah</w:t>
      </w:r>
      <w:proofErr w:type="spellEnd"/>
      <w:r>
        <w:rPr>
          <w:rFonts w:eastAsia="Times New Roman"/>
        </w:rPr>
        <w:t xml:space="preserve"> R, Banerjee I, </w:t>
      </w:r>
      <w:proofErr w:type="spellStart"/>
      <w:r>
        <w:rPr>
          <w:rFonts w:eastAsia="Times New Roman"/>
        </w:rPr>
        <w:t>Damanka</w:t>
      </w:r>
      <w:proofErr w:type="spellEnd"/>
      <w:r>
        <w:rPr>
          <w:rFonts w:eastAsia="Times New Roman"/>
        </w:rPr>
        <w:t xml:space="preserve"> S, </w:t>
      </w:r>
      <w:proofErr w:type="spellStart"/>
      <w:r>
        <w:rPr>
          <w:rFonts w:eastAsia="Times New Roman"/>
        </w:rPr>
        <w:t>Esona</w:t>
      </w:r>
      <w:proofErr w:type="spellEnd"/>
      <w:r>
        <w:rPr>
          <w:rFonts w:eastAsia="Times New Roman"/>
        </w:rPr>
        <w:t xml:space="preserve"> M, et al. New oligonucleotide primers for P-typing of rotavirus strains: Strategies for typing previously </w:t>
      </w:r>
      <w:proofErr w:type="spellStart"/>
      <w:r>
        <w:rPr>
          <w:rFonts w:eastAsia="Times New Roman"/>
        </w:rPr>
        <w:t>untypeable</w:t>
      </w:r>
      <w:proofErr w:type="spellEnd"/>
      <w:r>
        <w:rPr>
          <w:rFonts w:eastAsia="Times New Roman"/>
        </w:rPr>
        <w:t xml:space="preserve"> strains. </w:t>
      </w:r>
      <w:r w:rsidRPr="00A67321">
        <w:rPr>
          <w:rStyle w:val="Emphasis"/>
          <w:rFonts w:eastAsia="Times New Roman"/>
          <w:b w:val="0"/>
        </w:rPr>
        <w:t xml:space="preserve">J </w:t>
      </w:r>
      <w:proofErr w:type="spellStart"/>
      <w:r w:rsidRPr="00A67321">
        <w:rPr>
          <w:rStyle w:val="Emphasis"/>
          <w:rFonts w:eastAsia="Times New Roman"/>
          <w:b w:val="0"/>
        </w:rPr>
        <w:t>Clin</w:t>
      </w:r>
      <w:proofErr w:type="spellEnd"/>
      <w:r w:rsidRPr="00A67321">
        <w:rPr>
          <w:rStyle w:val="Emphasis"/>
          <w:rFonts w:eastAsia="Times New Roman"/>
          <w:b w:val="0"/>
        </w:rPr>
        <w:t xml:space="preserve"> </w:t>
      </w:r>
      <w:proofErr w:type="spellStart"/>
      <w:r w:rsidRPr="00A67321">
        <w:rPr>
          <w:rStyle w:val="Emphasis"/>
          <w:rFonts w:eastAsia="Times New Roman"/>
          <w:b w:val="0"/>
        </w:rPr>
        <w:t>Virol</w:t>
      </w:r>
      <w:proofErr w:type="spellEnd"/>
      <w:r>
        <w:rPr>
          <w:rFonts w:eastAsia="Times New Roman"/>
        </w:rPr>
        <w:t>. 2008</w:t>
      </w:r>
      <w:proofErr w:type="gramStart"/>
      <w:r>
        <w:rPr>
          <w:rFonts w:eastAsia="Times New Roman"/>
        </w:rPr>
        <w:t>;42</w:t>
      </w:r>
      <w:proofErr w:type="gramEnd"/>
      <w:r>
        <w:rPr>
          <w:rFonts w:eastAsia="Times New Roman"/>
        </w:rPr>
        <w:t xml:space="preserve">(4):368–73.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Maes</w:t>
      </w:r>
      <w:proofErr w:type="spellEnd"/>
      <w:r>
        <w:rPr>
          <w:rFonts w:eastAsia="Times New Roman"/>
        </w:rPr>
        <w:t xml:space="preserve"> P, </w:t>
      </w:r>
      <w:proofErr w:type="spellStart"/>
      <w:r>
        <w:rPr>
          <w:rFonts w:eastAsia="Times New Roman"/>
        </w:rPr>
        <w:t>Matthijnssens</w:t>
      </w:r>
      <w:proofErr w:type="spellEnd"/>
      <w:r>
        <w:rPr>
          <w:rFonts w:eastAsia="Times New Roman"/>
        </w:rPr>
        <w:t xml:space="preserve"> J, Rahman M, Van </w:t>
      </w:r>
      <w:proofErr w:type="spellStart"/>
      <w:r>
        <w:rPr>
          <w:rFonts w:eastAsia="Times New Roman"/>
        </w:rPr>
        <w:t>Ranst</w:t>
      </w:r>
      <w:proofErr w:type="spellEnd"/>
      <w:r>
        <w:rPr>
          <w:rFonts w:eastAsia="Times New Roman"/>
        </w:rPr>
        <w:t xml:space="preserve"> M. </w:t>
      </w:r>
      <w:proofErr w:type="spellStart"/>
      <w:r>
        <w:rPr>
          <w:rFonts w:eastAsia="Times New Roman"/>
        </w:rPr>
        <w:t>RotaC</w:t>
      </w:r>
      <w:proofErr w:type="spellEnd"/>
      <w:r>
        <w:rPr>
          <w:rFonts w:eastAsia="Times New Roman"/>
        </w:rPr>
        <w:t xml:space="preserve">: a web-based tool for the complete genome classification of group </w:t>
      </w:r>
      <w:proofErr w:type="gramStart"/>
      <w:r>
        <w:rPr>
          <w:rFonts w:eastAsia="Times New Roman"/>
        </w:rPr>
        <w:t>A</w:t>
      </w:r>
      <w:proofErr w:type="gramEnd"/>
      <w:r>
        <w:rPr>
          <w:rFonts w:eastAsia="Times New Roman"/>
        </w:rPr>
        <w:t xml:space="preserve"> rotaviruses. </w:t>
      </w:r>
      <w:r w:rsidRPr="00A67321">
        <w:rPr>
          <w:rStyle w:val="Emphasis"/>
          <w:rFonts w:eastAsia="Times New Roman"/>
          <w:b w:val="0"/>
        </w:rPr>
        <w:t xml:space="preserve">BMC </w:t>
      </w:r>
      <w:proofErr w:type="spellStart"/>
      <w:r w:rsidRPr="00A67321">
        <w:rPr>
          <w:rStyle w:val="Emphasis"/>
          <w:rFonts w:eastAsia="Times New Roman"/>
          <w:b w:val="0"/>
        </w:rPr>
        <w:t>Microbiol</w:t>
      </w:r>
      <w:proofErr w:type="spellEnd"/>
      <w:r>
        <w:rPr>
          <w:rFonts w:eastAsia="Times New Roman"/>
        </w:rPr>
        <w:t>. 2009</w:t>
      </w:r>
      <w:proofErr w:type="gramStart"/>
      <w:r>
        <w:rPr>
          <w:rFonts w:eastAsia="Times New Roman"/>
        </w:rPr>
        <w:t>;9:238</w:t>
      </w:r>
      <w:proofErr w:type="gramEnd"/>
      <w:r>
        <w:rPr>
          <w:rFonts w:eastAsia="Times New Roman"/>
        </w:rPr>
        <w:t xml:space="preserve">.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Donato CM, </w:t>
      </w:r>
      <w:proofErr w:type="spellStart"/>
      <w:r>
        <w:rPr>
          <w:rFonts w:eastAsia="Times New Roman"/>
        </w:rPr>
        <w:t>Ch’ng</w:t>
      </w:r>
      <w:proofErr w:type="spellEnd"/>
      <w:r>
        <w:rPr>
          <w:rFonts w:eastAsia="Times New Roman"/>
        </w:rPr>
        <w:t xml:space="preserve"> LS, Boniface KF, Crawford NW, Buttery JP, Lyon M, et al. Identification of strains of </w:t>
      </w:r>
      <w:proofErr w:type="spellStart"/>
      <w:r>
        <w:rPr>
          <w:rFonts w:eastAsia="Times New Roman"/>
        </w:rPr>
        <w:t>RotaTeq</w:t>
      </w:r>
      <w:proofErr w:type="spellEnd"/>
      <w:r>
        <w:rPr>
          <w:rFonts w:eastAsia="Times New Roman"/>
        </w:rPr>
        <w:t xml:space="preserve"> rotavirus vaccine in infants with gastroenteritis following routine vaccination. </w:t>
      </w:r>
      <w:r w:rsidRPr="00A67321">
        <w:rPr>
          <w:rStyle w:val="Emphasis"/>
          <w:rFonts w:eastAsia="Times New Roman"/>
          <w:b w:val="0"/>
        </w:rPr>
        <w:t>J Infect Dis</w:t>
      </w:r>
      <w:r>
        <w:rPr>
          <w:rFonts w:eastAsia="Times New Roman"/>
        </w:rPr>
        <w:t>. 2012</w:t>
      </w:r>
      <w:proofErr w:type="gramStart"/>
      <w:r>
        <w:rPr>
          <w:rFonts w:eastAsia="Times New Roman"/>
        </w:rPr>
        <w:t>;206</w:t>
      </w:r>
      <w:proofErr w:type="gramEnd"/>
      <w:r>
        <w:rPr>
          <w:rFonts w:eastAsia="Times New Roman"/>
        </w:rPr>
        <w:t xml:space="preserve">(3):377–83.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Elschner</w:t>
      </w:r>
      <w:proofErr w:type="spellEnd"/>
      <w:r>
        <w:rPr>
          <w:rFonts w:eastAsia="Times New Roman"/>
        </w:rPr>
        <w:t xml:space="preserve"> M, </w:t>
      </w:r>
      <w:proofErr w:type="spellStart"/>
      <w:r>
        <w:rPr>
          <w:rFonts w:eastAsia="Times New Roman"/>
        </w:rPr>
        <w:t>Prudlo</w:t>
      </w:r>
      <w:proofErr w:type="spellEnd"/>
      <w:r>
        <w:rPr>
          <w:rFonts w:eastAsia="Times New Roman"/>
        </w:rPr>
        <w:t xml:space="preserve"> J, </w:t>
      </w:r>
      <w:proofErr w:type="spellStart"/>
      <w:r>
        <w:rPr>
          <w:rFonts w:eastAsia="Times New Roman"/>
        </w:rPr>
        <w:t>Hotzel</w:t>
      </w:r>
      <w:proofErr w:type="spellEnd"/>
      <w:r>
        <w:rPr>
          <w:rFonts w:eastAsia="Times New Roman"/>
        </w:rPr>
        <w:t xml:space="preserve"> H, Otto P, </w:t>
      </w:r>
      <w:proofErr w:type="spellStart"/>
      <w:r>
        <w:rPr>
          <w:rFonts w:eastAsia="Times New Roman"/>
        </w:rPr>
        <w:t>Sachse</w:t>
      </w:r>
      <w:proofErr w:type="spellEnd"/>
      <w:r>
        <w:rPr>
          <w:rFonts w:eastAsia="Times New Roman"/>
        </w:rPr>
        <w:t xml:space="preserve"> K. Nested reverse transcriptase-polymerase chain reaction for the detection of group </w:t>
      </w:r>
      <w:proofErr w:type="gramStart"/>
      <w:r>
        <w:rPr>
          <w:rFonts w:eastAsia="Times New Roman"/>
        </w:rPr>
        <w:t>A</w:t>
      </w:r>
      <w:proofErr w:type="gramEnd"/>
      <w:r>
        <w:rPr>
          <w:rFonts w:eastAsia="Times New Roman"/>
        </w:rPr>
        <w:t xml:space="preserve"> rotaviruses. </w:t>
      </w:r>
      <w:r w:rsidRPr="00A67321">
        <w:rPr>
          <w:rStyle w:val="Emphasis"/>
          <w:rFonts w:eastAsia="Times New Roman"/>
          <w:b w:val="0"/>
        </w:rPr>
        <w:t xml:space="preserve">J </w:t>
      </w:r>
      <w:proofErr w:type="spellStart"/>
      <w:r w:rsidRPr="00A67321">
        <w:rPr>
          <w:rStyle w:val="Emphasis"/>
          <w:rFonts w:eastAsia="Times New Roman"/>
          <w:b w:val="0"/>
        </w:rPr>
        <w:t>VetMed</w:t>
      </w:r>
      <w:proofErr w:type="spellEnd"/>
      <w:r w:rsidRPr="00A67321">
        <w:rPr>
          <w:rStyle w:val="Emphasis"/>
          <w:rFonts w:eastAsia="Times New Roman"/>
          <w:b w:val="0"/>
        </w:rPr>
        <w:t xml:space="preserve"> B Infect Dis Vet Public Health</w:t>
      </w:r>
      <w:r>
        <w:rPr>
          <w:rFonts w:eastAsia="Times New Roman"/>
        </w:rPr>
        <w:t>. 2002</w:t>
      </w:r>
      <w:proofErr w:type="gramStart"/>
      <w:r>
        <w:rPr>
          <w:rFonts w:eastAsia="Times New Roman"/>
        </w:rPr>
        <w:t>;49</w:t>
      </w:r>
      <w:proofErr w:type="gramEnd"/>
      <w:r>
        <w:rPr>
          <w:rFonts w:eastAsia="Times New Roman"/>
        </w:rPr>
        <w:t xml:space="preserve">(2):77–81.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Cowley D, Donato CM, Roczo-Farkas S, Kirkwood CD. Emergence of a novel equine-like </w:t>
      </w:r>
      <w:proofErr w:type="gramStart"/>
      <w:r>
        <w:rPr>
          <w:rFonts w:eastAsia="Times New Roman"/>
        </w:rPr>
        <w:t>G3P[</w:t>
      </w:r>
      <w:proofErr w:type="gramEnd"/>
      <w:r>
        <w:rPr>
          <w:rFonts w:eastAsia="Times New Roman"/>
        </w:rPr>
        <w:t>8] inter-</w:t>
      </w:r>
      <w:proofErr w:type="spellStart"/>
      <w:r>
        <w:rPr>
          <w:rFonts w:eastAsia="Times New Roman"/>
        </w:rPr>
        <w:t>genogroup</w:t>
      </w:r>
      <w:proofErr w:type="spellEnd"/>
      <w:r>
        <w:rPr>
          <w:rFonts w:eastAsia="Times New Roman"/>
        </w:rPr>
        <w:t xml:space="preserve"> </w:t>
      </w:r>
      <w:proofErr w:type="spellStart"/>
      <w:r>
        <w:rPr>
          <w:rFonts w:eastAsia="Times New Roman"/>
        </w:rPr>
        <w:t>reassortant</w:t>
      </w:r>
      <w:proofErr w:type="spellEnd"/>
      <w:r>
        <w:rPr>
          <w:rFonts w:eastAsia="Times New Roman"/>
        </w:rPr>
        <w:t xml:space="preserve"> rotavirus strain associated with gastroenteritis in Australian children. </w:t>
      </w:r>
      <w:r w:rsidRPr="00A67321">
        <w:rPr>
          <w:rStyle w:val="Emphasis"/>
          <w:rFonts w:eastAsia="Times New Roman"/>
          <w:b w:val="0"/>
        </w:rPr>
        <w:t xml:space="preserve">J Gen </w:t>
      </w:r>
      <w:proofErr w:type="spellStart"/>
      <w:r w:rsidRPr="00A67321">
        <w:rPr>
          <w:rStyle w:val="Emphasis"/>
          <w:rFonts w:eastAsia="Times New Roman"/>
          <w:b w:val="0"/>
        </w:rPr>
        <w:t>Virol</w:t>
      </w:r>
      <w:proofErr w:type="spellEnd"/>
      <w:r>
        <w:rPr>
          <w:rFonts w:eastAsia="Times New Roman"/>
        </w:rPr>
        <w:t>. 2016</w:t>
      </w:r>
      <w:proofErr w:type="gramStart"/>
      <w:r>
        <w:rPr>
          <w:rFonts w:eastAsia="Times New Roman"/>
        </w:rPr>
        <w:t>;97</w:t>
      </w:r>
      <w:proofErr w:type="gramEnd"/>
      <w:r>
        <w:rPr>
          <w:rFonts w:eastAsia="Times New Roman"/>
        </w:rPr>
        <w:t xml:space="preserve">(2):403–10.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lastRenderedPageBreak/>
        <w:t xml:space="preserve">Roczo-Farkas S, Kirkwood CD, Bines JE. Australian Rotavirus Surveillance Program annual report, 2015. </w:t>
      </w:r>
      <w:proofErr w:type="spellStart"/>
      <w:r w:rsidRPr="00A67321">
        <w:rPr>
          <w:rStyle w:val="Emphasis"/>
          <w:rFonts w:eastAsia="Times New Roman"/>
          <w:b w:val="0"/>
        </w:rPr>
        <w:t>Commun</w:t>
      </w:r>
      <w:proofErr w:type="spellEnd"/>
      <w:r w:rsidRPr="00A67321">
        <w:rPr>
          <w:rStyle w:val="Emphasis"/>
          <w:rFonts w:eastAsia="Times New Roman"/>
          <w:b w:val="0"/>
        </w:rPr>
        <w:t xml:space="preserve"> Dis </w:t>
      </w:r>
      <w:proofErr w:type="spellStart"/>
      <w:r w:rsidRPr="00A67321">
        <w:rPr>
          <w:rStyle w:val="Emphasis"/>
          <w:rFonts w:eastAsia="Times New Roman"/>
          <w:b w:val="0"/>
        </w:rPr>
        <w:t>Intell</w:t>
      </w:r>
      <w:proofErr w:type="spellEnd"/>
      <w:r w:rsidRPr="00A67321">
        <w:rPr>
          <w:rStyle w:val="Emphasis"/>
          <w:rFonts w:eastAsia="Times New Roman"/>
          <w:b w:val="0"/>
        </w:rPr>
        <w:t xml:space="preserve"> Q Rep</w:t>
      </w:r>
      <w:r>
        <w:rPr>
          <w:rFonts w:eastAsia="Times New Roman"/>
        </w:rPr>
        <w:t>. 2016</w:t>
      </w:r>
      <w:proofErr w:type="gramStart"/>
      <w:r>
        <w:rPr>
          <w:rFonts w:eastAsia="Times New Roman"/>
        </w:rPr>
        <w:t>;40</w:t>
      </w:r>
      <w:proofErr w:type="gramEnd"/>
      <w:r>
        <w:rPr>
          <w:rFonts w:eastAsia="Times New Roman"/>
        </w:rPr>
        <w:t xml:space="preserve">(4):E527–38.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Donato CM, Cowley D, </w:t>
      </w:r>
      <w:proofErr w:type="spellStart"/>
      <w:r>
        <w:rPr>
          <w:rFonts w:eastAsia="Times New Roman"/>
        </w:rPr>
        <w:t>Donker</w:t>
      </w:r>
      <w:proofErr w:type="spellEnd"/>
      <w:r>
        <w:rPr>
          <w:rFonts w:eastAsia="Times New Roman"/>
        </w:rPr>
        <w:t xml:space="preserve"> NC, </w:t>
      </w:r>
      <w:proofErr w:type="spellStart"/>
      <w:r>
        <w:rPr>
          <w:rFonts w:eastAsia="Times New Roman"/>
        </w:rPr>
        <w:t>Bogdanovic-Sakran</w:t>
      </w:r>
      <w:proofErr w:type="spellEnd"/>
      <w:r>
        <w:rPr>
          <w:rFonts w:eastAsia="Times New Roman"/>
        </w:rPr>
        <w:t xml:space="preserve"> N, Snelling TL, Kirkwood CD. Characterization of </w:t>
      </w:r>
      <w:proofErr w:type="gramStart"/>
      <w:r>
        <w:rPr>
          <w:rFonts w:eastAsia="Times New Roman"/>
        </w:rPr>
        <w:t>G2P[</w:t>
      </w:r>
      <w:proofErr w:type="gramEnd"/>
      <w:r>
        <w:rPr>
          <w:rFonts w:eastAsia="Times New Roman"/>
        </w:rPr>
        <w:t xml:space="preserve">4] rotavirus strains causing outbreaks of gastroenteritis in the Northern Territory, Australia, in 1999, 2004 and 2009. </w:t>
      </w:r>
      <w:r w:rsidRPr="00A67321">
        <w:rPr>
          <w:rStyle w:val="Emphasis"/>
          <w:rFonts w:eastAsia="Times New Roman"/>
          <w:b w:val="0"/>
        </w:rPr>
        <w:t xml:space="preserve">Infect Genet </w:t>
      </w:r>
      <w:proofErr w:type="spellStart"/>
      <w:r w:rsidRPr="00A67321">
        <w:rPr>
          <w:rStyle w:val="Emphasis"/>
          <w:rFonts w:eastAsia="Times New Roman"/>
          <w:b w:val="0"/>
        </w:rPr>
        <w:t>Evol</w:t>
      </w:r>
      <w:proofErr w:type="spellEnd"/>
      <w:r>
        <w:rPr>
          <w:rFonts w:eastAsia="Times New Roman"/>
        </w:rPr>
        <w:t>. 2014</w:t>
      </w:r>
      <w:proofErr w:type="gramStart"/>
      <w:r>
        <w:rPr>
          <w:rFonts w:eastAsia="Times New Roman"/>
        </w:rPr>
        <w:t>;28:434</w:t>
      </w:r>
      <w:proofErr w:type="gramEnd"/>
      <w:r>
        <w:rPr>
          <w:rFonts w:eastAsia="Times New Roman"/>
        </w:rPr>
        <w:t xml:space="preserve">–45.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Kirkwood CD, Roczo-Farkas S. Australian Rotavirus Surveillance Program annual report, 2013. </w:t>
      </w:r>
      <w:proofErr w:type="spellStart"/>
      <w:r w:rsidRPr="00A67321">
        <w:rPr>
          <w:rStyle w:val="Emphasis"/>
          <w:rFonts w:eastAsia="Times New Roman"/>
          <w:b w:val="0"/>
        </w:rPr>
        <w:t>Commun</w:t>
      </w:r>
      <w:proofErr w:type="spellEnd"/>
      <w:r w:rsidRPr="00A67321">
        <w:rPr>
          <w:rStyle w:val="Emphasis"/>
          <w:rFonts w:eastAsia="Times New Roman"/>
          <w:b w:val="0"/>
        </w:rPr>
        <w:t xml:space="preserve"> Dis </w:t>
      </w:r>
      <w:proofErr w:type="spellStart"/>
      <w:r w:rsidRPr="00A67321">
        <w:rPr>
          <w:rStyle w:val="Emphasis"/>
          <w:rFonts w:eastAsia="Times New Roman"/>
          <w:b w:val="0"/>
        </w:rPr>
        <w:t>Intell</w:t>
      </w:r>
      <w:proofErr w:type="spellEnd"/>
      <w:r w:rsidRPr="00A67321">
        <w:rPr>
          <w:rStyle w:val="Emphasis"/>
          <w:rFonts w:eastAsia="Times New Roman"/>
          <w:b w:val="0"/>
        </w:rPr>
        <w:t xml:space="preserve"> Q Rep</w:t>
      </w:r>
      <w:r>
        <w:rPr>
          <w:rFonts w:eastAsia="Times New Roman"/>
        </w:rPr>
        <w:t>. 2014</w:t>
      </w:r>
      <w:proofErr w:type="gramStart"/>
      <w:r>
        <w:rPr>
          <w:rFonts w:eastAsia="Times New Roman"/>
        </w:rPr>
        <w:t>;38</w:t>
      </w:r>
      <w:proofErr w:type="gramEnd"/>
      <w:r>
        <w:rPr>
          <w:rFonts w:eastAsia="Times New Roman"/>
        </w:rPr>
        <w:t xml:space="preserve">(4):E334–42.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Roczo-Farkas S, Kirkwood CD, Bines JE. Australian Rotavirus Surveillance Program: Annual Report, 2016. </w:t>
      </w:r>
      <w:proofErr w:type="spellStart"/>
      <w:r w:rsidRPr="00A67321">
        <w:rPr>
          <w:rStyle w:val="Emphasis"/>
          <w:rFonts w:eastAsia="Times New Roman"/>
          <w:b w:val="0"/>
        </w:rPr>
        <w:t>Commun</w:t>
      </w:r>
      <w:proofErr w:type="spellEnd"/>
      <w:r w:rsidRPr="00A67321">
        <w:rPr>
          <w:rStyle w:val="Emphasis"/>
          <w:rFonts w:eastAsia="Times New Roman"/>
          <w:b w:val="0"/>
        </w:rPr>
        <w:t xml:space="preserve"> Dis </w:t>
      </w:r>
      <w:proofErr w:type="spellStart"/>
      <w:r w:rsidRPr="00A67321">
        <w:rPr>
          <w:rStyle w:val="Emphasis"/>
          <w:rFonts w:eastAsia="Times New Roman"/>
          <w:b w:val="0"/>
        </w:rPr>
        <w:t>Intell</w:t>
      </w:r>
      <w:proofErr w:type="spellEnd"/>
      <w:r w:rsidRPr="00A67321">
        <w:rPr>
          <w:rStyle w:val="Emphasis"/>
          <w:rFonts w:eastAsia="Times New Roman"/>
          <w:b w:val="0"/>
        </w:rPr>
        <w:t xml:space="preserve"> Q Rep</w:t>
      </w:r>
      <w:r>
        <w:rPr>
          <w:rFonts w:eastAsia="Times New Roman"/>
        </w:rPr>
        <w:t>. 2017</w:t>
      </w:r>
      <w:proofErr w:type="gramStart"/>
      <w:r>
        <w:rPr>
          <w:rFonts w:eastAsia="Times New Roman"/>
        </w:rPr>
        <w:t>;41</w:t>
      </w:r>
      <w:proofErr w:type="gramEnd"/>
      <w:r>
        <w:rPr>
          <w:rFonts w:eastAsia="Times New Roman"/>
        </w:rPr>
        <w:t xml:space="preserve">(4):E455–71.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Andersson</w:t>
      </w:r>
      <w:proofErr w:type="spellEnd"/>
      <w:r>
        <w:rPr>
          <w:rFonts w:eastAsia="Times New Roman"/>
        </w:rPr>
        <w:t xml:space="preserve"> M, Lindh M. Rotavirus genotype shifts among Swedish children and adults-Application of a real-time PCR genotyping. </w:t>
      </w:r>
      <w:r w:rsidRPr="00A67321">
        <w:rPr>
          <w:rStyle w:val="Emphasis"/>
          <w:rFonts w:eastAsia="Times New Roman"/>
          <w:b w:val="0"/>
        </w:rPr>
        <w:t xml:space="preserve">J </w:t>
      </w:r>
      <w:proofErr w:type="spellStart"/>
      <w:r w:rsidRPr="00A67321">
        <w:rPr>
          <w:rStyle w:val="Emphasis"/>
          <w:rFonts w:eastAsia="Times New Roman"/>
          <w:b w:val="0"/>
        </w:rPr>
        <w:t>Clin</w:t>
      </w:r>
      <w:proofErr w:type="spellEnd"/>
      <w:r w:rsidRPr="00A67321">
        <w:rPr>
          <w:rStyle w:val="Emphasis"/>
          <w:rFonts w:eastAsia="Times New Roman"/>
          <w:b w:val="0"/>
        </w:rPr>
        <w:t xml:space="preserve"> </w:t>
      </w:r>
      <w:proofErr w:type="spellStart"/>
      <w:r w:rsidRPr="00A67321">
        <w:rPr>
          <w:rStyle w:val="Emphasis"/>
          <w:rFonts w:eastAsia="Times New Roman"/>
          <w:b w:val="0"/>
        </w:rPr>
        <w:t>Virol</w:t>
      </w:r>
      <w:proofErr w:type="spellEnd"/>
      <w:r>
        <w:rPr>
          <w:rFonts w:eastAsia="Times New Roman"/>
        </w:rPr>
        <w:t>. 2017</w:t>
      </w:r>
      <w:proofErr w:type="gramStart"/>
      <w:r>
        <w:rPr>
          <w:rFonts w:eastAsia="Times New Roman"/>
        </w:rPr>
        <w:t>;96:1</w:t>
      </w:r>
      <w:proofErr w:type="gramEnd"/>
      <w:r>
        <w:rPr>
          <w:rFonts w:eastAsia="Times New Roman"/>
        </w:rPr>
        <w:t xml:space="preserve">–6.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Luchs</w:t>
      </w:r>
      <w:proofErr w:type="spellEnd"/>
      <w:r>
        <w:rPr>
          <w:rFonts w:eastAsia="Times New Roman"/>
        </w:rPr>
        <w:t xml:space="preserve"> A, </w:t>
      </w:r>
      <w:proofErr w:type="spellStart"/>
      <w:r>
        <w:rPr>
          <w:rFonts w:eastAsia="Times New Roman"/>
        </w:rPr>
        <w:t>Madalosso</w:t>
      </w:r>
      <w:proofErr w:type="spellEnd"/>
      <w:r>
        <w:rPr>
          <w:rFonts w:eastAsia="Times New Roman"/>
        </w:rPr>
        <w:t xml:space="preserve"> G, </w:t>
      </w:r>
      <w:proofErr w:type="spellStart"/>
      <w:r>
        <w:rPr>
          <w:rFonts w:eastAsia="Times New Roman"/>
        </w:rPr>
        <w:t>Cilli</w:t>
      </w:r>
      <w:proofErr w:type="spellEnd"/>
      <w:r>
        <w:rPr>
          <w:rFonts w:eastAsia="Times New Roman"/>
        </w:rPr>
        <w:t xml:space="preserve"> A, </w:t>
      </w:r>
      <w:proofErr w:type="spellStart"/>
      <w:r>
        <w:rPr>
          <w:rFonts w:eastAsia="Times New Roman"/>
        </w:rPr>
        <w:t>Morillo</w:t>
      </w:r>
      <w:proofErr w:type="spellEnd"/>
      <w:r>
        <w:rPr>
          <w:rFonts w:eastAsia="Times New Roman"/>
        </w:rPr>
        <w:t xml:space="preserve"> SG, Martins SR, de Souza KAF, et al. Outbreak of </w:t>
      </w:r>
      <w:proofErr w:type="gramStart"/>
      <w:r>
        <w:rPr>
          <w:rFonts w:eastAsia="Times New Roman"/>
        </w:rPr>
        <w:t>G2P[</w:t>
      </w:r>
      <w:proofErr w:type="gramEnd"/>
      <w:r>
        <w:rPr>
          <w:rFonts w:eastAsia="Times New Roman"/>
        </w:rPr>
        <w:t xml:space="preserve">4] rotavirus gastroenteritis in a retirement community, Brazil, 2015: An important public health risk? </w:t>
      </w:r>
      <w:proofErr w:type="spellStart"/>
      <w:r w:rsidRPr="00A67321">
        <w:rPr>
          <w:rStyle w:val="Emphasis"/>
          <w:rFonts w:eastAsia="Times New Roman"/>
          <w:b w:val="0"/>
        </w:rPr>
        <w:t>Geriatr</w:t>
      </w:r>
      <w:proofErr w:type="spellEnd"/>
      <w:r w:rsidRPr="00A67321">
        <w:rPr>
          <w:rStyle w:val="Emphasis"/>
          <w:rFonts w:eastAsia="Times New Roman"/>
          <w:b w:val="0"/>
        </w:rPr>
        <w:t xml:space="preserve"> </w:t>
      </w:r>
      <w:proofErr w:type="spellStart"/>
      <w:r w:rsidRPr="00A67321">
        <w:rPr>
          <w:rStyle w:val="Emphasis"/>
          <w:rFonts w:eastAsia="Times New Roman"/>
          <w:b w:val="0"/>
        </w:rPr>
        <w:t>Nurs</w:t>
      </w:r>
      <w:proofErr w:type="spellEnd"/>
      <w:r>
        <w:rPr>
          <w:rFonts w:eastAsia="Times New Roman"/>
        </w:rPr>
        <w:t>. 2017</w:t>
      </w:r>
      <w:proofErr w:type="gramStart"/>
      <w:r>
        <w:rPr>
          <w:rFonts w:eastAsia="Times New Roman"/>
        </w:rPr>
        <w:t>;38</w:t>
      </w:r>
      <w:proofErr w:type="gramEnd"/>
      <w:r>
        <w:rPr>
          <w:rFonts w:eastAsia="Times New Roman"/>
        </w:rPr>
        <w:t xml:space="preserve">(4):283–90.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Wang Y, Zhang J, Liu P. Clinical and molecular epidemiologic trends reveal the important role of rotavirus in adult infectious gastroenteritis, in Shanghai, China. </w:t>
      </w:r>
      <w:r w:rsidRPr="00A67321">
        <w:rPr>
          <w:rStyle w:val="Emphasis"/>
          <w:rFonts w:eastAsia="Times New Roman"/>
          <w:b w:val="0"/>
        </w:rPr>
        <w:t xml:space="preserve">Infect Genet </w:t>
      </w:r>
      <w:proofErr w:type="spellStart"/>
      <w:r w:rsidRPr="00A67321">
        <w:rPr>
          <w:rStyle w:val="Emphasis"/>
          <w:rFonts w:eastAsia="Times New Roman"/>
          <w:b w:val="0"/>
        </w:rPr>
        <w:t>Evol</w:t>
      </w:r>
      <w:proofErr w:type="spellEnd"/>
      <w:r>
        <w:rPr>
          <w:rFonts w:eastAsia="Times New Roman"/>
        </w:rPr>
        <w:t>. 2017</w:t>
      </w:r>
      <w:proofErr w:type="gramStart"/>
      <w:r>
        <w:rPr>
          <w:rFonts w:eastAsia="Times New Roman"/>
        </w:rPr>
        <w:t>;47:143</w:t>
      </w:r>
      <w:proofErr w:type="gramEnd"/>
      <w:r>
        <w:rPr>
          <w:rFonts w:eastAsia="Times New Roman"/>
        </w:rPr>
        <w:t xml:space="preserve">–54.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Khandoker</w:t>
      </w:r>
      <w:proofErr w:type="spellEnd"/>
      <w:r>
        <w:rPr>
          <w:rFonts w:eastAsia="Times New Roman"/>
        </w:rPr>
        <w:t xml:space="preserve"> N, </w:t>
      </w:r>
      <w:proofErr w:type="spellStart"/>
      <w:r>
        <w:rPr>
          <w:rFonts w:eastAsia="Times New Roman"/>
        </w:rPr>
        <w:t>Thongprachum</w:t>
      </w:r>
      <w:proofErr w:type="spellEnd"/>
      <w:r>
        <w:rPr>
          <w:rFonts w:eastAsia="Times New Roman"/>
        </w:rPr>
        <w:t xml:space="preserve"> A, </w:t>
      </w:r>
      <w:proofErr w:type="spellStart"/>
      <w:r>
        <w:rPr>
          <w:rFonts w:eastAsia="Times New Roman"/>
        </w:rPr>
        <w:t>Takanashi</w:t>
      </w:r>
      <w:proofErr w:type="spellEnd"/>
      <w:r>
        <w:rPr>
          <w:rFonts w:eastAsia="Times New Roman"/>
        </w:rPr>
        <w:t xml:space="preserve"> S, </w:t>
      </w:r>
      <w:proofErr w:type="spellStart"/>
      <w:r>
        <w:rPr>
          <w:rFonts w:eastAsia="Times New Roman"/>
        </w:rPr>
        <w:t>Okitsu</w:t>
      </w:r>
      <w:proofErr w:type="spellEnd"/>
      <w:r>
        <w:rPr>
          <w:rFonts w:eastAsia="Times New Roman"/>
        </w:rPr>
        <w:t xml:space="preserve"> S, Nishimura S, </w:t>
      </w:r>
      <w:proofErr w:type="spellStart"/>
      <w:r>
        <w:rPr>
          <w:rFonts w:eastAsia="Times New Roman"/>
        </w:rPr>
        <w:t>Kikuta</w:t>
      </w:r>
      <w:proofErr w:type="spellEnd"/>
      <w:r>
        <w:rPr>
          <w:rFonts w:eastAsia="Times New Roman"/>
        </w:rPr>
        <w:t xml:space="preserve"> H, et al. Molecular epidemiology of rotavirus gastroenteritis in Japan during 2014–2015: Characterization of re-emerging G2P[4] after rotavirus vaccine introduction. </w:t>
      </w:r>
      <w:r w:rsidRPr="00A67321">
        <w:rPr>
          <w:rStyle w:val="Emphasis"/>
          <w:rFonts w:eastAsia="Times New Roman"/>
          <w:b w:val="0"/>
        </w:rPr>
        <w:t xml:space="preserve">J Med </w:t>
      </w:r>
      <w:proofErr w:type="spellStart"/>
      <w:r w:rsidRPr="00A67321">
        <w:rPr>
          <w:rStyle w:val="Emphasis"/>
          <w:rFonts w:eastAsia="Times New Roman"/>
          <w:b w:val="0"/>
        </w:rPr>
        <w:t>Virol</w:t>
      </w:r>
      <w:proofErr w:type="spellEnd"/>
      <w:r>
        <w:rPr>
          <w:rFonts w:eastAsia="Times New Roman"/>
        </w:rPr>
        <w:t>. 2018</w:t>
      </w:r>
      <w:proofErr w:type="gramStart"/>
      <w:r>
        <w:rPr>
          <w:rFonts w:eastAsia="Times New Roman"/>
        </w:rPr>
        <w:t>;90</w:t>
      </w:r>
      <w:proofErr w:type="gramEnd"/>
      <w:r>
        <w:rPr>
          <w:rFonts w:eastAsia="Times New Roman"/>
        </w:rPr>
        <w:t xml:space="preserve">(6):1040–6.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Santos VS, Marques DP, Martins-</w:t>
      </w:r>
      <w:proofErr w:type="spellStart"/>
      <w:r>
        <w:rPr>
          <w:rFonts w:eastAsia="Times New Roman"/>
        </w:rPr>
        <w:t>Filho</w:t>
      </w:r>
      <w:proofErr w:type="spellEnd"/>
      <w:r>
        <w:rPr>
          <w:rFonts w:eastAsia="Times New Roman"/>
        </w:rPr>
        <w:t xml:space="preserve"> PRS, Cuevas LE, </w:t>
      </w:r>
      <w:proofErr w:type="spellStart"/>
      <w:r>
        <w:rPr>
          <w:rFonts w:eastAsia="Times New Roman"/>
        </w:rPr>
        <w:t>Gurgel</w:t>
      </w:r>
      <w:proofErr w:type="spellEnd"/>
      <w:r>
        <w:rPr>
          <w:rFonts w:eastAsia="Times New Roman"/>
        </w:rPr>
        <w:t xml:space="preserve"> RQ. Effectiveness of rotavirus vaccines against rotavirus infection and hospitalization in Latin America: systematic review and meta-analysis. </w:t>
      </w:r>
      <w:r w:rsidRPr="00A67321">
        <w:rPr>
          <w:rStyle w:val="Emphasis"/>
          <w:rFonts w:eastAsia="Times New Roman"/>
          <w:b w:val="0"/>
        </w:rPr>
        <w:t>Infect Dis Poverty</w:t>
      </w:r>
      <w:r>
        <w:rPr>
          <w:rFonts w:eastAsia="Times New Roman"/>
        </w:rPr>
        <w:t>. 2016</w:t>
      </w:r>
      <w:proofErr w:type="gramStart"/>
      <w:r>
        <w:rPr>
          <w:rFonts w:eastAsia="Times New Roman"/>
        </w:rPr>
        <w:t>;5</w:t>
      </w:r>
      <w:proofErr w:type="gramEnd"/>
      <w:r>
        <w:rPr>
          <w:rFonts w:eastAsia="Times New Roman"/>
        </w:rPr>
        <w:t xml:space="preserve">(1):83.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Mukhopadhya</w:t>
      </w:r>
      <w:proofErr w:type="spellEnd"/>
      <w:r>
        <w:rPr>
          <w:rFonts w:eastAsia="Times New Roman"/>
        </w:rPr>
        <w:t xml:space="preserve"> I, Murdoch H, Berry S, Hunt </w:t>
      </w:r>
      <w:proofErr w:type="gramStart"/>
      <w:r>
        <w:rPr>
          <w:rFonts w:eastAsia="Times New Roman"/>
        </w:rPr>
        <w:t>A</w:t>
      </w:r>
      <w:proofErr w:type="gramEnd"/>
      <w:r>
        <w:rPr>
          <w:rFonts w:eastAsia="Times New Roman"/>
        </w:rPr>
        <w:t xml:space="preserve">, </w:t>
      </w:r>
      <w:proofErr w:type="spellStart"/>
      <w:r>
        <w:rPr>
          <w:rFonts w:eastAsia="Times New Roman"/>
        </w:rPr>
        <w:t>Iturriza-Gomara</w:t>
      </w:r>
      <w:proofErr w:type="spellEnd"/>
      <w:r>
        <w:rPr>
          <w:rFonts w:eastAsia="Times New Roman"/>
        </w:rPr>
        <w:t xml:space="preserve"> M, Smith-Palmer A, et al. Changing molecular epidemiology of rotavirus infection after introduction of monovalent rotavirus vaccination in Scotland. </w:t>
      </w:r>
      <w:r w:rsidRPr="00A67321">
        <w:rPr>
          <w:rStyle w:val="Emphasis"/>
          <w:rFonts w:eastAsia="Times New Roman"/>
          <w:b w:val="0"/>
        </w:rPr>
        <w:t>Vaccine</w:t>
      </w:r>
      <w:r>
        <w:rPr>
          <w:rFonts w:eastAsia="Times New Roman"/>
        </w:rPr>
        <w:t>. 2017</w:t>
      </w:r>
      <w:proofErr w:type="gramStart"/>
      <w:r>
        <w:rPr>
          <w:rFonts w:eastAsia="Times New Roman"/>
        </w:rPr>
        <w:t>;35</w:t>
      </w:r>
      <w:proofErr w:type="gramEnd"/>
      <w:r>
        <w:rPr>
          <w:rFonts w:eastAsia="Times New Roman"/>
        </w:rPr>
        <w:t xml:space="preserve">(1):156–63.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Matthijnssens</w:t>
      </w:r>
      <w:proofErr w:type="spellEnd"/>
      <w:r>
        <w:rPr>
          <w:rFonts w:eastAsia="Times New Roman"/>
        </w:rPr>
        <w:t xml:space="preserve"> J, Zeller M, </w:t>
      </w:r>
      <w:proofErr w:type="spellStart"/>
      <w:r>
        <w:rPr>
          <w:rFonts w:eastAsia="Times New Roman"/>
        </w:rPr>
        <w:t>Heylen</w:t>
      </w:r>
      <w:proofErr w:type="spellEnd"/>
      <w:r>
        <w:rPr>
          <w:rFonts w:eastAsia="Times New Roman"/>
        </w:rPr>
        <w:t xml:space="preserve"> E, De </w:t>
      </w:r>
      <w:proofErr w:type="spellStart"/>
      <w:r>
        <w:rPr>
          <w:rFonts w:eastAsia="Times New Roman"/>
        </w:rPr>
        <w:t>Coster</w:t>
      </w:r>
      <w:proofErr w:type="spellEnd"/>
      <w:r>
        <w:rPr>
          <w:rFonts w:eastAsia="Times New Roman"/>
        </w:rPr>
        <w:t xml:space="preserve"> S, </w:t>
      </w:r>
      <w:proofErr w:type="spellStart"/>
      <w:r>
        <w:rPr>
          <w:rFonts w:eastAsia="Times New Roman"/>
        </w:rPr>
        <w:t>Vercauteren</w:t>
      </w:r>
      <w:proofErr w:type="spellEnd"/>
      <w:r>
        <w:rPr>
          <w:rFonts w:eastAsia="Times New Roman"/>
        </w:rPr>
        <w:t xml:space="preserve"> J, </w:t>
      </w:r>
      <w:proofErr w:type="spellStart"/>
      <w:r>
        <w:rPr>
          <w:rFonts w:eastAsia="Times New Roman"/>
        </w:rPr>
        <w:t>Braeckman</w:t>
      </w:r>
      <w:proofErr w:type="spellEnd"/>
      <w:r>
        <w:rPr>
          <w:rFonts w:eastAsia="Times New Roman"/>
        </w:rPr>
        <w:t xml:space="preserve"> T, et al. Higher proportion of G2P[4] rotaviruses in vaccinated hospitalized cases compared with unvaccinated hospitalized cases, despite high vaccine effectiveness against heterotypic G2P[4] rotaviruses. </w:t>
      </w:r>
      <w:proofErr w:type="spellStart"/>
      <w:r w:rsidRPr="00A67321">
        <w:rPr>
          <w:rStyle w:val="Emphasis"/>
          <w:rFonts w:eastAsia="Times New Roman"/>
          <w:b w:val="0"/>
        </w:rPr>
        <w:t>Clin</w:t>
      </w:r>
      <w:proofErr w:type="spellEnd"/>
      <w:r w:rsidRPr="00A67321">
        <w:rPr>
          <w:rStyle w:val="Emphasis"/>
          <w:rFonts w:eastAsia="Times New Roman"/>
          <w:b w:val="0"/>
        </w:rPr>
        <w:t xml:space="preserve"> </w:t>
      </w:r>
      <w:proofErr w:type="spellStart"/>
      <w:r w:rsidRPr="00A67321">
        <w:rPr>
          <w:rStyle w:val="Emphasis"/>
          <w:rFonts w:eastAsia="Times New Roman"/>
          <w:b w:val="0"/>
        </w:rPr>
        <w:t>Microbiol</w:t>
      </w:r>
      <w:proofErr w:type="spellEnd"/>
      <w:r w:rsidRPr="00A67321">
        <w:rPr>
          <w:rStyle w:val="Emphasis"/>
          <w:rFonts w:eastAsia="Times New Roman"/>
          <w:b w:val="0"/>
        </w:rPr>
        <w:t xml:space="preserve"> Infect</w:t>
      </w:r>
      <w:r>
        <w:rPr>
          <w:rFonts w:eastAsia="Times New Roman"/>
        </w:rPr>
        <w:t>. 2014</w:t>
      </w:r>
      <w:proofErr w:type="gramStart"/>
      <w:r>
        <w:rPr>
          <w:rFonts w:eastAsia="Times New Roman"/>
        </w:rPr>
        <w:t>;20</w:t>
      </w:r>
      <w:proofErr w:type="gramEnd"/>
      <w:r>
        <w:rPr>
          <w:rFonts w:eastAsia="Times New Roman"/>
        </w:rPr>
        <w:t xml:space="preserve">(10):O702–10.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Luchs</w:t>
      </w:r>
      <w:proofErr w:type="spellEnd"/>
      <w:r>
        <w:rPr>
          <w:rFonts w:eastAsia="Times New Roman"/>
        </w:rPr>
        <w:t xml:space="preserve"> A, </w:t>
      </w:r>
      <w:proofErr w:type="spellStart"/>
      <w:r>
        <w:rPr>
          <w:rFonts w:eastAsia="Times New Roman"/>
        </w:rPr>
        <w:t>Cilli</w:t>
      </w:r>
      <w:proofErr w:type="spellEnd"/>
      <w:r>
        <w:rPr>
          <w:rFonts w:eastAsia="Times New Roman"/>
        </w:rPr>
        <w:t xml:space="preserve"> A, </w:t>
      </w:r>
      <w:proofErr w:type="spellStart"/>
      <w:r>
        <w:rPr>
          <w:rFonts w:eastAsia="Times New Roman"/>
        </w:rPr>
        <w:t>Morillo</w:t>
      </w:r>
      <w:proofErr w:type="spellEnd"/>
      <w:r>
        <w:rPr>
          <w:rFonts w:eastAsia="Times New Roman"/>
        </w:rPr>
        <w:t xml:space="preserve"> SG, Carmona </w:t>
      </w:r>
      <w:proofErr w:type="spellStart"/>
      <w:r>
        <w:rPr>
          <w:rFonts w:eastAsia="Times New Roman"/>
        </w:rPr>
        <w:t>Rde</w:t>
      </w:r>
      <w:proofErr w:type="spellEnd"/>
      <w:r>
        <w:rPr>
          <w:rFonts w:eastAsia="Times New Roman"/>
        </w:rPr>
        <w:t xml:space="preserve"> C, </w:t>
      </w:r>
      <w:proofErr w:type="spellStart"/>
      <w:r>
        <w:rPr>
          <w:rFonts w:eastAsia="Times New Roman"/>
        </w:rPr>
        <w:t>Timenetsky</w:t>
      </w:r>
      <w:proofErr w:type="spellEnd"/>
      <w:r>
        <w:rPr>
          <w:rFonts w:eastAsia="Times New Roman"/>
        </w:rPr>
        <w:t xml:space="preserve"> </w:t>
      </w:r>
      <w:proofErr w:type="spellStart"/>
      <w:r>
        <w:rPr>
          <w:rFonts w:eastAsia="Times New Roman"/>
        </w:rPr>
        <w:t>Mdo</w:t>
      </w:r>
      <w:proofErr w:type="spellEnd"/>
      <w:r>
        <w:rPr>
          <w:rFonts w:eastAsia="Times New Roman"/>
        </w:rPr>
        <w:t xml:space="preserve"> C. Rotavirus genotypes circulating in Brazil, 2007–2012: implications for the vaccine program. </w:t>
      </w:r>
      <w:r w:rsidRPr="00A67321">
        <w:rPr>
          <w:rStyle w:val="Emphasis"/>
          <w:rFonts w:eastAsia="Times New Roman"/>
          <w:b w:val="0"/>
        </w:rPr>
        <w:t xml:space="preserve">Rev </w:t>
      </w:r>
      <w:proofErr w:type="spellStart"/>
      <w:r w:rsidRPr="00A67321">
        <w:rPr>
          <w:rStyle w:val="Emphasis"/>
          <w:rFonts w:eastAsia="Times New Roman"/>
          <w:b w:val="0"/>
        </w:rPr>
        <w:t>Inst</w:t>
      </w:r>
      <w:proofErr w:type="spellEnd"/>
      <w:r w:rsidRPr="00A67321">
        <w:rPr>
          <w:rStyle w:val="Emphasis"/>
          <w:rFonts w:eastAsia="Times New Roman"/>
          <w:b w:val="0"/>
        </w:rPr>
        <w:t xml:space="preserve"> Med Trop Sao Paulo</w:t>
      </w:r>
      <w:r>
        <w:rPr>
          <w:rFonts w:eastAsia="Times New Roman"/>
        </w:rPr>
        <w:t>. 2015</w:t>
      </w:r>
      <w:proofErr w:type="gramStart"/>
      <w:r>
        <w:rPr>
          <w:rFonts w:eastAsia="Times New Roman"/>
        </w:rPr>
        <w:t>;57</w:t>
      </w:r>
      <w:proofErr w:type="gramEnd"/>
      <w:r>
        <w:rPr>
          <w:rFonts w:eastAsia="Times New Roman"/>
        </w:rPr>
        <w:t xml:space="preserve">(4):305–13.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Donato CM, Zhang ZA, </w:t>
      </w:r>
      <w:proofErr w:type="spellStart"/>
      <w:r>
        <w:rPr>
          <w:rFonts w:eastAsia="Times New Roman"/>
        </w:rPr>
        <w:t>Donker</w:t>
      </w:r>
      <w:proofErr w:type="spellEnd"/>
      <w:r>
        <w:rPr>
          <w:rFonts w:eastAsia="Times New Roman"/>
        </w:rPr>
        <w:t xml:space="preserve"> NC, Kirkwood CD. Characterization of G2P[4] rotavirus strains associated with increased detection in Australian states using the </w:t>
      </w:r>
      <w:proofErr w:type="spellStart"/>
      <w:r>
        <w:rPr>
          <w:rFonts w:eastAsia="Times New Roman"/>
        </w:rPr>
        <w:t>RotaTeq</w:t>
      </w:r>
      <w:proofErr w:type="spellEnd"/>
      <w:r>
        <w:rPr>
          <w:rFonts w:eastAsia="Times New Roman"/>
        </w:rPr>
        <w:t xml:space="preserve">(R) vaccine during the 2010–2011 surveillance period. </w:t>
      </w:r>
      <w:r w:rsidRPr="00A67321">
        <w:rPr>
          <w:rStyle w:val="Emphasis"/>
          <w:rFonts w:eastAsia="Times New Roman"/>
          <w:b w:val="0"/>
        </w:rPr>
        <w:t xml:space="preserve">Infect Genet </w:t>
      </w:r>
      <w:proofErr w:type="spellStart"/>
      <w:r w:rsidRPr="00A67321">
        <w:rPr>
          <w:rStyle w:val="Emphasis"/>
          <w:rFonts w:eastAsia="Times New Roman"/>
          <w:b w:val="0"/>
        </w:rPr>
        <w:t>Evol</w:t>
      </w:r>
      <w:proofErr w:type="spellEnd"/>
      <w:r>
        <w:rPr>
          <w:rFonts w:eastAsia="Times New Roman"/>
        </w:rPr>
        <w:t>. 2014</w:t>
      </w:r>
      <w:proofErr w:type="gramStart"/>
      <w:r>
        <w:rPr>
          <w:rFonts w:eastAsia="Times New Roman"/>
        </w:rPr>
        <w:t>;28:398</w:t>
      </w:r>
      <w:proofErr w:type="gramEnd"/>
      <w:r>
        <w:rPr>
          <w:rFonts w:eastAsia="Times New Roman"/>
        </w:rPr>
        <w:t xml:space="preserve">–412.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Roczo-Farkas S, Kirkwood CD, Cowley D, Barnes GL, Bishop RF, </w:t>
      </w:r>
      <w:proofErr w:type="spellStart"/>
      <w:r>
        <w:rPr>
          <w:rFonts w:eastAsia="Times New Roman"/>
        </w:rPr>
        <w:t>Bogdanovic-Sakran</w:t>
      </w:r>
      <w:proofErr w:type="spellEnd"/>
      <w:r>
        <w:rPr>
          <w:rFonts w:eastAsia="Times New Roman"/>
        </w:rPr>
        <w:t xml:space="preserve"> N, et al. The impact of rotavirus vaccines on genotype diversity: a comprehensive analysis of 2 decades of Australian surveillance data. </w:t>
      </w:r>
      <w:r w:rsidRPr="00A67321">
        <w:rPr>
          <w:rStyle w:val="Emphasis"/>
          <w:rFonts w:eastAsia="Times New Roman"/>
          <w:b w:val="0"/>
        </w:rPr>
        <w:t>J Infect Dis</w:t>
      </w:r>
      <w:r>
        <w:rPr>
          <w:rFonts w:eastAsia="Times New Roman"/>
        </w:rPr>
        <w:t>. 2018</w:t>
      </w:r>
      <w:proofErr w:type="gramStart"/>
      <w:r>
        <w:rPr>
          <w:rFonts w:eastAsia="Times New Roman"/>
        </w:rPr>
        <w:t>;218</w:t>
      </w:r>
      <w:proofErr w:type="gramEnd"/>
      <w:r>
        <w:rPr>
          <w:rFonts w:eastAsia="Times New Roman"/>
        </w:rPr>
        <w:t xml:space="preserve">(4):546–54.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Hoque</w:t>
      </w:r>
      <w:proofErr w:type="spellEnd"/>
      <w:r>
        <w:rPr>
          <w:rFonts w:eastAsia="Times New Roman"/>
        </w:rPr>
        <w:t xml:space="preserve"> SA, Kobayashi M, </w:t>
      </w:r>
      <w:proofErr w:type="spellStart"/>
      <w:r>
        <w:rPr>
          <w:rFonts w:eastAsia="Times New Roman"/>
        </w:rPr>
        <w:t>Takanashi</w:t>
      </w:r>
      <w:proofErr w:type="spellEnd"/>
      <w:r>
        <w:rPr>
          <w:rFonts w:eastAsia="Times New Roman"/>
        </w:rPr>
        <w:t xml:space="preserve"> S, Anwar KS, Watanabe T, </w:t>
      </w:r>
      <w:proofErr w:type="spellStart"/>
      <w:r>
        <w:rPr>
          <w:rFonts w:eastAsia="Times New Roman"/>
        </w:rPr>
        <w:t>Khamrin</w:t>
      </w:r>
      <w:proofErr w:type="spellEnd"/>
      <w:r>
        <w:rPr>
          <w:rFonts w:eastAsia="Times New Roman"/>
        </w:rPr>
        <w:t xml:space="preserve"> P, et al. Role of rotavirus vaccination on an emerging G8P[8] rotavirus strain causing an outbreak in central Japan. </w:t>
      </w:r>
      <w:r w:rsidRPr="00A67321">
        <w:rPr>
          <w:rStyle w:val="Emphasis"/>
          <w:rFonts w:eastAsia="Times New Roman"/>
          <w:b w:val="0"/>
        </w:rPr>
        <w:t>Vaccine</w:t>
      </w:r>
      <w:r>
        <w:rPr>
          <w:rFonts w:eastAsia="Times New Roman"/>
        </w:rPr>
        <w:t>. 2018</w:t>
      </w:r>
      <w:proofErr w:type="gramStart"/>
      <w:r>
        <w:rPr>
          <w:rFonts w:eastAsia="Times New Roman"/>
        </w:rPr>
        <w:t>;36</w:t>
      </w:r>
      <w:proofErr w:type="gramEnd"/>
      <w:r>
        <w:rPr>
          <w:rFonts w:eastAsia="Times New Roman"/>
        </w:rPr>
        <w:t xml:space="preserve">(1):43–9.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Kondo K, </w:t>
      </w:r>
      <w:proofErr w:type="spellStart"/>
      <w:r>
        <w:rPr>
          <w:rFonts w:eastAsia="Times New Roman"/>
        </w:rPr>
        <w:t>Tsugawa</w:t>
      </w:r>
      <w:proofErr w:type="spellEnd"/>
      <w:r>
        <w:rPr>
          <w:rFonts w:eastAsia="Times New Roman"/>
        </w:rPr>
        <w:t xml:space="preserve"> T, Ono M, </w:t>
      </w:r>
      <w:proofErr w:type="spellStart"/>
      <w:r>
        <w:rPr>
          <w:rFonts w:eastAsia="Times New Roman"/>
        </w:rPr>
        <w:t>Ohara</w:t>
      </w:r>
      <w:proofErr w:type="spellEnd"/>
      <w:r>
        <w:rPr>
          <w:rFonts w:eastAsia="Times New Roman"/>
        </w:rPr>
        <w:t xml:space="preserve"> T, Fujibayashi S, Tahara Y, et al. Clinical and molecular characteristics of human rotavirus G8P[8] outbreak strain, Japan, 2014. </w:t>
      </w:r>
      <w:proofErr w:type="spellStart"/>
      <w:r w:rsidRPr="00A67321">
        <w:rPr>
          <w:rStyle w:val="Emphasis"/>
          <w:rFonts w:eastAsia="Times New Roman"/>
          <w:b w:val="0"/>
        </w:rPr>
        <w:t>Emerg</w:t>
      </w:r>
      <w:proofErr w:type="spellEnd"/>
      <w:r w:rsidRPr="00A67321">
        <w:rPr>
          <w:rStyle w:val="Emphasis"/>
          <w:rFonts w:eastAsia="Times New Roman"/>
          <w:b w:val="0"/>
        </w:rPr>
        <w:t xml:space="preserve"> Infect Dis</w:t>
      </w:r>
      <w:r>
        <w:rPr>
          <w:rFonts w:eastAsia="Times New Roman"/>
        </w:rPr>
        <w:t>. 2017</w:t>
      </w:r>
      <w:proofErr w:type="gramStart"/>
      <w:r>
        <w:rPr>
          <w:rFonts w:eastAsia="Times New Roman"/>
        </w:rPr>
        <w:t>;23</w:t>
      </w:r>
      <w:proofErr w:type="gramEnd"/>
      <w:r>
        <w:rPr>
          <w:rFonts w:eastAsia="Times New Roman"/>
        </w:rPr>
        <w:t xml:space="preserve">(6):968–72.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Hoa</w:t>
      </w:r>
      <w:proofErr w:type="spellEnd"/>
      <w:r>
        <w:rPr>
          <w:rFonts w:eastAsia="Times New Roman"/>
        </w:rPr>
        <w:t xml:space="preserve">-Tran TN, </w:t>
      </w:r>
      <w:proofErr w:type="spellStart"/>
      <w:r>
        <w:rPr>
          <w:rFonts w:eastAsia="Times New Roman"/>
        </w:rPr>
        <w:t>Nakagomi</w:t>
      </w:r>
      <w:proofErr w:type="spellEnd"/>
      <w:r>
        <w:rPr>
          <w:rFonts w:eastAsia="Times New Roman"/>
        </w:rPr>
        <w:t xml:space="preserve"> T, Vu HM, Do LP, </w:t>
      </w:r>
      <w:proofErr w:type="spellStart"/>
      <w:r>
        <w:rPr>
          <w:rFonts w:eastAsia="Times New Roman"/>
        </w:rPr>
        <w:t>Gauchan</w:t>
      </w:r>
      <w:proofErr w:type="spellEnd"/>
      <w:r>
        <w:rPr>
          <w:rFonts w:eastAsia="Times New Roman"/>
        </w:rPr>
        <w:t xml:space="preserve"> P, </w:t>
      </w:r>
      <w:proofErr w:type="spellStart"/>
      <w:r>
        <w:rPr>
          <w:rFonts w:eastAsia="Times New Roman"/>
        </w:rPr>
        <w:t>Agbemabiese</w:t>
      </w:r>
      <w:proofErr w:type="spellEnd"/>
      <w:r>
        <w:rPr>
          <w:rFonts w:eastAsia="Times New Roman"/>
        </w:rPr>
        <w:t xml:space="preserve"> CA, et al. Abrupt emergence and predominance in Vietnam of rotavirus A strains possessing a bovine-like G8 on a DS-1-like background. </w:t>
      </w:r>
      <w:r w:rsidRPr="00A67321">
        <w:rPr>
          <w:rStyle w:val="Emphasis"/>
          <w:rFonts w:eastAsia="Times New Roman"/>
          <w:b w:val="0"/>
        </w:rPr>
        <w:t xml:space="preserve">Arch </w:t>
      </w:r>
      <w:proofErr w:type="spellStart"/>
      <w:r w:rsidRPr="00A67321">
        <w:rPr>
          <w:rStyle w:val="Emphasis"/>
          <w:rFonts w:eastAsia="Times New Roman"/>
          <w:b w:val="0"/>
        </w:rPr>
        <w:t>Virol</w:t>
      </w:r>
      <w:proofErr w:type="spellEnd"/>
      <w:r>
        <w:rPr>
          <w:rFonts w:eastAsia="Times New Roman"/>
        </w:rPr>
        <w:t>. 2016</w:t>
      </w:r>
      <w:proofErr w:type="gramStart"/>
      <w:r>
        <w:rPr>
          <w:rFonts w:eastAsia="Times New Roman"/>
        </w:rPr>
        <w:t>;161</w:t>
      </w:r>
      <w:proofErr w:type="gramEnd"/>
      <w:r>
        <w:rPr>
          <w:rFonts w:eastAsia="Times New Roman"/>
        </w:rPr>
        <w:t xml:space="preserve">(2):479–82.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Tacharoenmuang</w:t>
      </w:r>
      <w:proofErr w:type="spellEnd"/>
      <w:r>
        <w:rPr>
          <w:rFonts w:eastAsia="Times New Roman"/>
        </w:rPr>
        <w:t xml:space="preserve"> R, </w:t>
      </w:r>
      <w:proofErr w:type="spellStart"/>
      <w:r>
        <w:rPr>
          <w:rFonts w:eastAsia="Times New Roman"/>
        </w:rPr>
        <w:t>Komoto</w:t>
      </w:r>
      <w:proofErr w:type="spellEnd"/>
      <w:r>
        <w:rPr>
          <w:rFonts w:eastAsia="Times New Roman"/>
        </w:rPr>
        <w:t xml:space="preserve"> S, </w:t>
      </w:r>
      <w:proofErr w:type="spellStart"/>
      <w:r>
        <w:rPr>
          <w:rFonts w:eastAsia="Times New Roman"/>
        </w:rPr>
        <w:t>Guntapong</w:t>
      </w:r>
      <w:proofErr w:type="spellEnd"/>
      <w:r>
        <w:rPr>
          <w:rFonts w:eastAsia="Times New Roman"/>
        </w:rPr>
        <w:t xml:space="preserve"> R, Ide T, </w:t>
      </w:r>
      <w:proofErr w:type="spellStart"/>
      <w:r>
        <w:rPr>
          <w:rFonts w:eastAsia="Times New Roman"/>
        </w:rPr>
        <w:t>Sinchai</w:t>
      </w:r>
      <w:proofErr w:type="spellEnd"/>
      <w:r>
        <w:rPr>
          <w:rFonts w:eastAsia="Times New Roman"/>
        </w:rPr>
        <w:t xml:space="preserve"> P, </w:t>
      </w:r>
      <w:proofErr w:type="spellStart"/>
      <w:r>
        <w:rPr>
          <w:rFonts w:eastAsia="Times New Roman"/>
        </w:rPr>
        <w:t>Upachai</w:t>
      </w:r>
      <w:proofErr w:type="spellEnd"/>
      <w:r>
        <w:rPr>
          <w:rFonts w:eastAsia="Times New Roman"/>
        </w:rPr>
        <w:t xml:space="preserve"> S, et al. Full genome characterization of novel DS-1-like G8P[8] rotavirus strains that have emerged in Thailand: </w:t>
      </w:r>
      <w:proofErr w:type="spellStart"/>
      <w:r>
        <w:rPr>
          <w:rFonts w:eastAsia="Times New Roman"/>
        </w:rPr>
        <w:t>reassortment</w:t>
      </w:r>
      <w:proofErr w:type="spellEnd"/>
      <w:r>
        <w:rPr>
          <w:rFonts w:eastAsia="Times New Roman"/>
        </w:rPr>
        <w:t xml:space="preserve"> of bovine and human rotavirus gene segments in emerging DS-1-like </w:t>
      </w:r>
      <w:proofErr w:type="spellStart"/>
      <w:r>
        <w:rPr>
          <w:rFonts w:eastAsia="Times New Roman"/>
        </w:rPr>
        <w:t>intergenogroup</w:t>
      </w:r>
      <w:proofErr w:type="spellEnd"/>
      <w:r>
        <w:rPr>
          <w:rFonts w:eastAsia="Times New Roman"/>
        </w:rPr>
        <w:t xml:space="preserve"> </w:t>
      </w:r>
      <w:proofErr w:type="spellStart"/>
      <w:r>
        <w:rPr>
          <w:rFonts w:eastAsia="Times New Roman"/>
        </w:rPr>
        <w:t>reassortant</w:t>
      </w:r>
      <w:proofErr w:type="spellEnd"/>
      <w:r>
        <w:rPr>
          <w:rFonts w:eastAsia="Times New Roman"/>
        </w:rPr>
        <w:t xml:space="preserve"> strains. </w:t>
      </w:r>
      <w:proofErr w:type="spellStart"/>
      <w:r w:rsidRPr="00A67321">
        <w:rPr>
          <w:rStyle w:val="Emphasis"/>
          <w:rFonts w:eastAsia="Times New Roman"/>
          <w:b w:val="0"/>
        </w:rPr>
        <w:t>PloS</w:t>
      </w:r>
      <w:proofErr w:type="spellEnd"/>
      <w:r w:rsidRPr="00A67321">
        <w:rPr>
          <w:rStyle w:val="Emphasis"/>
          <w:rFonts w:eastAsia="Times New Roman"/>
          <w:b w:val="0"/>
        </w:rPr>
        <w:t xml:space="preserve"> One</w:t>
      </w:r>
      <w:r>
        <w:rPr>
          <w:rFonts w:eastAsia="Times New Roman"/>
        </w:rPr>
        <w:t>. 2016</w:t>
      </w:r>
      <w:proofErr w:type="gramStart"/>
      <w:r>
        <w:rPr>
          <w:rFonts w:eastAsia="Times New Roman"/>
        </w:rPr>
        <w:t>;11</w:t>
      </w:r>
      <w:proofErr w:type="gramEnd"/>
      <w:r>
        <w:rPr>
          <w:rFonts w:eastAsia="Times New Roman"/>
        </w:rPr>
        <w:t xml:space="preserve">(11):e0165826.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Guntapong</w:t>
      </w:r>
      <w:proofErr w:type="spellEnd"/>
      <w:r>
        <w:rPr>
          <w:rFonts w:eastAsia="Times New Roman"/>
        </w:rPr>
        <w:t xml:space="preserve"> R, </w:t>
      </w:r>
      <w:proofErr w:type="spellStart"/>
      <w:r>
        <w:rPr>
          <w:rFonts w:eastAsia="Times New Roman"/>
        </w:rPr>
        <w:t>Tacharoenmuang</w:t>
      </w:r>
      <w:proofErr w:type="spellEnd"/>
      <w:r>
        <w:rPr>
          <w:rFonts w:eastAsia="Times New Roman"/>
        </w:rPr>
        <w:t xml:space="preserve"> R, </w:t>
      </w:r>
      <w:proofErr w:type="spellStart"/>
      <w:r>
        <w:rPr>
          <w:rFonts w:eastAsia="Times New Roman"/>
        </w:rPr>
        <w:t>Singchai</w:t>
      </w:r>
      <w:proofErr w:type="spellEnd"/>
      <w:r>
        <w:rPr>
          <w:rFonts w:eastAsia="Times New Roman"/>
        </w:rPr>
        <w:t xml:space="preserve"> P, </w:t>
      </w:r>
      <w:proofErr w:type="spellStart"/>
      <w:r>
        <w:rPr>
          <w:rFonts w:eastAsia="Times New Roman"/>
        </w:rPr>
        <w:t>Upachai</w:t>
      </w:r>
      <w:proofErr w:type="spellEnd"/>
      <w:r>
        <w:rPr>
          <w:rFonts w:eastAsia="Times New Roman"/>
        </w:rPr>
        <w:t xml:space="preserve"> S, </w:t>
      </w:r>
      <w:proofErr w:type="spellStart"/>
      <w:r>
        <w:rPr>
          <w:rFonts w:eastAsia="Times New Roman"/>
        </w:rPr>
        <w:t>Sutthiwarakom</w:t>
      </w:r>
      <w:proofErr w:type="spellEnd"/>
      <w:r>
        <w:rPr>
          <w:rFonts w:eastAsia="Times New Roman"/>
        </w:rPr>
        <w:t xml:space="preserve"> K, </w:t>
      </w:r>
      <w:proofErr w:type="spellStart"/>
      <w:r>
        <w:rPr>
          <w:rFonts w:eastAsia="Times New Roman"/>
        </w:rPr>
        <w:t>Komoto</w:t>
      </w:r>
      <w:proofErr w:type="spellEnd"/>
      <w:r>
        <w:rPr>
          <w:rFonts w:eastAsia="Times New Roman"/>
        </w:rPr>
        <w:t xml:space="preserve"> S, et al. Predominant prevalence of human rotaviruses with the G1P[8] and G8P[8] genotypes with a short RNA profile in 2013 and 2014 in </w:t>
      </w:r>
      <w:proofErr w:type="spellStart"/>
      <w:r>
        <w:rPr>
          <w:rFonts w:eastAsia="Times New Roman"/>
        </w:rPr>
        <w:t>Sukhothai</w:t>
      </w:r>
      <w:proofErr w:type="spellEnd"/>
      <w:r>
        <w:rPr>
          <w:rFonts w:eastAsia="Times New Roman"/>
        </w:rPr>
        <w:t xml:space="preserve"> and </w:t>
      </w:r>
      <w:proofErr w:type="spellStart"/>
      <w:r>
        <w:rPr>
          <w:rFonts w:eastAsia="Times New Roman"/>
        </w:rPr>
        <w:t>Phetchaboon</w:t>
      </w:r>
      <w:proofErr w:type="spellEnd"/>
      <w:r>
        <w:rPr>
          <w:rFonts w:eastAsia="Times New Roman"/>
        </w:rPr>
        <w:t xml:space="preserve"> provinces, Thailand. </w:t>
      </w:r>
      <w:r w:rsidRPr="00A67321">
        <w:rPr>
          <w:rStyle w:val="Emphasis"/>
          <w:rFonts w:eastAsia="Times New Roman"/>
          <w:b w:val="0"/>
        </w:rPr>
        <w:t xml:space="preserve">J Med </w:t>
      </w:r>
      <w:proofErr w:type="spellStart"/>
      <w:r w:rsidRPr="00A67321">
        <w:rPr>
          <w:rStyle w:val="Emphasis"/>
          <w:rFonts w:eastAsia="Times New Roman"/>
          <w:b w:val="0"/>
        </w:rPr>
        <w:t>Virol</w:t>
      </w:r>
      <w:proofErr w:type="spellEnd"/>
      <w:r>
        <w:rPr>
          <w:rFonts w:eastAsia="Times New Roman"/>
        </w:rPr>
        <w:t>. 2017</w:t>
      </w:r>
      <w:proofErr w:type="gramStart"/>
      <w:r>
        <w:rPr>
          <w:rFonts w:eastAsia="Times New Roman"/>
        </w:rPr>
        <w:t>;89</w:t>
      </w:r>
      <w:proofErr w:type="gramEnd"/>
      <w:r>
        <w:rPr>
          <w:rFonts w:eastAsia="Times New Roman"/>
        </w:rPr>
        <w:t xml:space="preserve">(4):615–20.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Komoto</w:t>
      </w:r>
      <w:proofErr w:type="spellEnd"/>
      <w:r>
        <w:rPr>
          <w:rFonts w:eastAsia="Times New Roman"/>
        </w:rPr>
        <w:t xml:space="preserve"> S, Ide T, </w:t>
      </w:r>
      <w:proofErr w:type="spellStart"/>
      <w:r>
        <w:rPr>
          <w:rFonts w:eastAsia="Times New Roman"/>
        </w:rPr>
        <w:t>Negoro</w:t>
      </w:r>
      <w:proofErr w:type="spellEnd"/>
      <w:r>
        <w:rPr>
          <w:rFonts w:eastAsia="Times New Roman"/>
        </w:rPr>
        <w:t xml:space="preserve"> M, Tanaka T, Asada K, </w:t>
      </w:r>
      <w:proofErr w:type="spellStart"/>
      <w:r>
        <w:rPr>
          <w:rFonts w:eastAsia="Times New Roman"/>
        </w:rPr>
        <w:t>Umemoto</w:t>
      </w:r>
      <w:proofErr w:type="spellEnd"/>
      <w:r>
        <w:rPr>
          <w:rFonts w:eastAsia="Times New Roman"/>
        </w:rPr>
        <w:t xml:space="preserve"> M, et al. Characterization of unusual DS-1-like G3P[8] rotavirus strains in children with </w:t>
      </w:r>
      <w:proofErr w:type="spellStart"/>
      <w:r>
        <w:rPr>
          <w:rFonts w:eastAsia="Times New Roman"/>
        </w:rPr>
        <w:t>diarrhea</w:t>
      </w:r>
      <w:proofErr w:type="spellEnd"/>
      <w:r>
        <w:rPr>
          <w:rFonts w:eastAsia="Times New Roman"/>
        </w:rPr>
        <w:t xml:space="preserve"> in Japan. </w:t>
      </w:r>
      <w:r w:rsidRPr="00A67321">
        <w:rPr>
          <w:rStyle w:val="Emphasis"/>
          <w:rFonts w:eastAsia="Times New Roman"/>
          <w:b w:val="0"/>
        </w:rPr>
        <w:t xml:space="preserve">J Med </w:t>
      </w:r>
      <w:proofErr w:type="spellStart"/>
      <w:r w:rsidRPr="00A67321">
        <w:rPr>
          <w:rStyle w:val="Emphasis"/>
          <w:rFonts w:eastAsia="Times New Roman"/>
          <w:b w:val="0"/>
        </w:rPr>
        <w:t>Virol</w:t>
      </w:r>
      <w:proofErr w:type="spellEnd"/>
      <w:r>
        <w:rPr>
          <w:rFonts w:eastAsia="Times New Roman"/>
        </w:rPr>
        <w:t>. 2018</w:t>
      </w:r>
      <w:proofErr w:type="gramStart"/>
      <w:r>
        <w:rPr>
          <w:rFonts w:eastAsia="Times New Roman"/>
        </w:rPr>
        <w:t>;90</w:t>
      </w:r>
      <w:proofErr w:type="gramEnd"/>
      <w:r>
        <w:rPr>
          <w:rFonts w:eastAsia="Times New Roman"/>
        </w:rPr>
        <w:t xml:space="preserve">(5):890–8.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lastRenderedPageBreak/>
        <w:t xml:space="preserve">Arana A, Montes M, </w:t>
      </w:r>
      <w:proofErr w:type="spellStart"/>
      <w:r>
        <w:rPr>
          <w:rFonts w:eastAsia="Times New Roman"/>
        </w:rPr>
        <w:t>Jere</w:t>
      </w:r>
      <w:proofErr w:type="spellEnd"/>
      <w:r>
        <w:rPr>
          <w:rFonts w:eastAsia="Times New Roman"/>
        </w:rPr>
        <w:t xml:space="preserve"> KC, </w:t>
      </w:r>
      <w:proofErr w:type="spellStart"/>
      <w:r>
        <w:rPr>
          <w:rFonts w:eastAsia="Times New Roman"/>
        </w:rPr>
        <w:t>Alkorta</w:t>
      </w:r>
      <w:proofErr w:type="spellEnd"/>
      <w:r>
        <w:rPr>
          <w:rFonts w:eastAsia="Times New Roman"/>
        </w:rPr>
        <w:t xml:space="preserve"> M, </w:t>
      </w:r>
      <w:proofErr w:type="spellStart"/>
      <w:r>
        <w:rPr>
          <w:rFonts w:eastAsia="Times New Roman"/>
        </w:rPr>
        <w:t>Iturriza-Gómara</w:t>
      </w:r>
      <w:proofErr w:type="spellEnd"/>
      <w:r>
        <w:rPr>
          <w:rFonts w:eastAsia="Times New Roman"/>
        </w:rPr>
        <w:t xml:space="preserve"> M, Cilla G. Emergence and spread of G3P[8] rotaviruses possessing an equine-like VP7 and a DS-1-like genetic backbone in the Basque Country (North of Spain), 2015. </w:t>
      </w:r>
      <w:r w:rsidRPr="00A67321">
        <w:rPr>
          <w:rStyle w:val="Emphasis"/>
          <w:rFonts w:eastAsia="Times New Roman"/>
          <w:b w:val="0"/>
        </w:rPr>
        <w:t xml:space="preserve">Infect Genet </w:t>
      </w:r>
      <w:proofErr w:type="spellStart"/>
      <w:r w:rsidRPr="00A67321">
        <w:rPr>
          <w:rStyle w:val="Emphasis"/>
          <w:rFonts w:eastAsia="Times New Roman"/>
          <w:b w:val="0"/>
        </w:rPr>
        <w:t>Evol</w:t>
      </w:r>
      <w:proofErr w:type="spellEnd"/>
      <w:r>
        <w:rPr>
          <w:rFonts w:eastAsia="Times New Roman"/>
        </w:rPr>
        <w:t>. 2016</w:t>
      </w:r>
      <w:proofErr w:type="gramStart"/>
      <w:r>
        <w:rPr>
          <w:rFonts w:eastAsia="Times New Roman"/>
        </w:rPr>
        <w:t>;44:137</w:t>
      </w:r>
      <w:proofErr w:type="gramEnd"/>
      <w:r>
        <w:rPr>
          <w:rFonts w:eastAsia="Times New Roman"/>
        </w:rPr>
        <w:t xml:space="preserve">–44.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Dóró</w:t>
      </w:r>
      <w:proofErr w:type="spellEnd"/>
      <w:r>
        <w:rPr>
          <w:rFonts w:eastAsia="Times New Roman"/>
        </w:rPr>
        <w:t xml:space="preserve"> R, </w:t>
      </w:r>
      <w:proofErr w:type="spellStart"/>
      <w:r>
        <w:rPr>
          <w:rFonts w:eastAsia="Times New Roman"/>
        </w:rPr>
        <w:t>Marton</w:t>
      </w:r>
      <w:proofErr w:type="spellEnd"/>
      <w:r>
        <w:rPr>
          <w:rFonts w:eastAsia="Times New Roman"/>
        </w:rPr>
        <w:t xml:space="preserve"> S, </w:t>
      </w:r>
      <w:proofErr w:type="spellStart"/>
      <w:r>
        <w:rPr>
          <w:rFonts w:eastAsia="Times New Roman"/>
        </w:rPr>
        <w:t>Bartókné</w:t>
      </w:r>
      <w:proofErr w:type="spellEnd"/>
      <w:r>
        <w:rPr>
          <w:rFonts w:eastAsia="Times New Roman"/>
        </w:rPr>
        <w:t xml:space="preserve"> AH, </w:t>
      </w:r>
      <w:proofErr w:type="spellStart"/>
      <w:r>
        <w:rPr>
          <w:rFonts w:eastAsia="Times New Roman"/>
        </w:rPr>
        <w:t>Lengyel</w:t>
      </w:r>
      <w:proofErr w:type="spellEnd"/>
      <w:r>
        <w:rPr>
          <w:rFonts w:eastAsia="Times New Roman"/>
        </w:rPr>
        <w:t xml:space="preserve"> G, </w:t>
      </w:r>
      <w:proofErr w:type="spellStart"/>
      <w:r>
        <w:rPr>
          <w:rFonts w:eastAsia="Times New Roman"/>
        </w:rPr>
        <w:t>Agócs</w:t>
      </w:r>
      <w:proofErr w:type="spellEnd"/>
      <w:r>
        <w:rPr>
          <w:rFonts w:eastAsia="Times New Roman"/>
        </w:rPr>
        <w:t xml:space="preserve"> Z, </w:t>
      </w:r>
      <w:proofErr w:type="spellStart"/>
      <w:r>
        <w:rPr>
          <w:rFonts w:eastAsia="Times New Roman"/>
        </w:rPr>
        <w:t>Jakab</w:t>
      </w:r>
      <w:proofErr w:type="spellEnd"/>
      <w:r>
        <w:rPr>
          <w:rFonts w:eastAsia="Times New Roman"/>
        </w:rPr>
        <w:t xml:space="preserve"> F, et al. Equine-like G3 rotavirus in Hungary, 2015 - Is it a novel </w:t>
      </w:r>
      <w:proofErr w:type="spellStart"/>
      <w:r>
        <w:rPr>
          <w:rFonts w:eastAsia="Times New Roman"/>
        </w:rPr>
        <w:t>intergenogroup</w:t>
      </w:r>
      <w:proofErr w:type="spellEnd"/>
      <w:r>
        <w:rPr>
          <w:rFonts w:eastAsia="Times New Roman"/>
        </w:rPr>
        <w:t xml:space="preserve"> </w:t>
      </w:r>
      <w:proofErr w:type="spellStart"/>
      <w:r>
        <w:rPr>
          <w:rFonts w:eastAsia="Times New Roman"/>
        </w:rPr>
        <w:t>reassortant</w:t>
      </w:r>
      <w:proofErr w:type="spellEnd"/>
      <w:r>
        <w:rPr>
          <w:rFonts w:eastAsia="Times New Roman"/>
        </w:rPr>
        <w:t xml:space="preserve"> pandemic strain? </w:t>
      </w:r>
      <w:proofErr w:type="spellStart"/>
      <w:r w:rsidRPr="00A67321">
        <w:rPr>
          <w:rStyle w:val="Emphasis"/>
          <w:rFonts w:eastAsia="Times New Roman"/>
          <w:b w:val="0"/>
        </w:rPr>
        <w:t>Acta</w:t>
      </w:r>
      <w:proofErr w:type="spellEnd"/>
      <w:r w:rsidRPr="00A67321">
        <w:rPr>
          <w:rStyle w:val="Emphasis"/>
          <w:rFonts w:eastAsia="Times New Roman"/>
          <w:b w:val="0"/>
        </w:rPr>
        <w:t xml:space="preserve"> </w:t>
      </w:r>
      <w:proofErr w:type="spellStart"/>
      <w:r w:rsidRPr="00A67321">
        <w:rPr>
          <w:rStyle w:val="Emphasis"/>
          <w:rFonts w:eastAsia="Times New Roman"/>
          <w:b w:val="0"/>
        </w:rPr>
        <w:t>Microbiol</w:t>
      </w:r>
      <w:proofErr w:type="spellEnd"/>
      <w:r w:rsidRPr="00A67321">
        <w:rPr>
          <w:rStyle w:val="Emphasis"/>
          <w:rFonts w:eastAsia="Times New Roman"/>
          <w:b w:val="0"/>
        </w:rPr>
        <w:t xml:space="preserve"> </w:t>
      </w:r>
      <w:proofErr w:type="spellStart"/>
      <w:r w:rsidRPr="00A67321">
        <w:rPr>
          <w:rStyle w:val="Emphasis"/>
          <w:rFonts w:eastAsia="Times New Roman"/>
          <w:b w:val="0"/>
        </w:rPr>
        <w:t>Immunol</w:t>
      </w:r>
      <w:proofErr w:type="spellEnd"/>
      <w:r w:rsidRPr="00A67321">
        <w:rPr>
          <w:rStyle w:val="Emphasis"/>
          <w:rFonts w:eastAsia="Times New Roman"/>
          <w:b w:val="0"/>
        </w:rPr>
        <w:t xml:space="preserve"> Hung</w:t>
      </w:r>
      <w:r>
        <w:rPr>
          <w:rFonts w:eastAsia="Times New Roman"/>
        </w:rPr>
        <w:t>. 2016</w:t>
      </w:r>
      <w:proofErr w:type="gramStart"/>
      <w:r>
        <w:rPr>
          <w:rFonts w:eastAsia="Times New Roman"/>
        </w:rPr>
        <w:t>;63</w:t>
      </w:r>
      <w:proofErr w:type="gramEnd"/>
      <w:r>
        <w:rPr>
          <w:rFonts w:eastAsia="Times New Roman"/>
        </w:rPr>
        <w:t xml:space="preserve">(2):243–55.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Malasao</w:t>
      </w:r>
      <w:proofErr w:type="spellEnd"/>
      <w:r>
        <w:rPr>
          <w:rFonts w:eastAsia="Times New Roman"/>
        </w:rPr>
        <w:t xml:space="preserve"> R, Saito M, Suzuki A, </w:t>
      </w:r>
      <w:proofErr w:type="spellStart"/>
      <w:r>
        <w:rPr>
          <w:rFonts w:eastAsia="Times New Roman"/>
        </w:rPr>
        <w:t>Imagawa</w:t>
      </w:r>
      <w:proofErr w:type="spellEnd"/>
      <w:r>
        <w:rPr>
          <w:rFonts w:eastAsia="Times New Roman"/>
        </w:rPr>
        <w:t xml:space="preserve"> T, </w:t>
      </w:r>
      <w:proofErr w:type="spellStart"/>
      <w:r>
        <w:rPr>
          <w:rFonts w:eastAsia="Times New Roman"/>
        </w:rPr>
        <w:t>Nukiwa</w:t>
      </w:r>
      <w:proofErr w:type="spellEnd"/>
      <w:r>
        <w:rPr>
          <w:rFonts w:eastAsia="Times New Roman"/>
        </w:rPr>
        <w:t xml:space="preserve">-Soma N, </w:t>
      </w:r>
      <w:proofErr w:type="spellStart"/>
      <w:r>
        <w:rPr>
          <w:rFonts w:eastAsia="Times New Roman"/>
        </w:rPr>
        <w:t>Tohma</w:t>
      </w:r>
      <w:proofErr w:type="spellEnd"/>
      <w:r>
        <w:rPr>
          <w:rFonts w:eastAsia="Times New Roman"/>
        </w:rPr>
        <w:t xml:space="preserve"> K, et al. Human G3P[4] rotavirus obtained in Japan, 2013, possibly emerged through a human-equine rotavirus </w:t>
      </w:r>
      <w:proofErr w:type="spellStart"/>
      <w:r>
        <w:rPr>
          <w:rFonts w:eastAsia="Times New Roman"/>
        </w:rPr>
        <w:t>reassortment</w:t>
      </w:r>
      <w:proofErr w:type="spellEnd"/>
      <w:r>
        <w:rPr>
          <w:rFonts w:eastAsia="Times New Roman"/>
        </w:rPr>
        <w:t xml:space="preserve"> event. </w:t>
      </w:r>
      <w:r w:rsidRPr="00A67321">
        <w:rPr>
          <w:rStyle w:val="Emphasis"/>
          <w:rFonts w:eastAsia="Times New Roman"/>
          <w:b w:val="0"/>
        </w:rPr>
        <w:t>Virus genes</w:t>
      </w:r>
      <w:r>
        <w:rPr>
          <w:rFonts w:eastAsia="Times New Roman"/>
        </w:rPr>
        <w:t>. 2015</w:t>
      </w:r>
      <w:proofErr w:type="gramStart"/>
      <w:r>
        <w:rPr>
          <w:rFonts w:eastAsia="Times New Roman"/>
        </w:rPr>
        <w:t>;50</w:t>
      </w:r>
      <w:proofErr w:type="gramEnd"/>
      <w:r>
        <w:rPr>
          <w:rFonts w:eastAsia="Times New Roman"/>
        </w:rPr>
        <w:t xml:space="preserve">(1):129–33.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Pietsch</w:t>
      </w:r>
      <w:proofErr w:type="spellEnd"/>
      <w:r>
        <w:rPr>
          <w:rFonts w:eastAsia="Times New Roman"/>
        </w:rPr>
        <w:t xml:space="preserve"> C, </w:t>
      </w:r>
      <w:proofErr w:type="spellStart"/>
      <w:r>
        <w:rPr>
          <w:rFonts w:eastAsia="Times New Roman"/>
        </w:rPr>
        <w:t>Liebert</w:t>
      </w:r>
      <w:proofErr w:type="spellEnd"/>
      <w:r>
        <w:rPr>
          <w:rFonts w:eastAsia="Times New Roman"/>
        </w:rPr>
        <w:t xml:space="preserve"> UG. Molecular characterization of different equine-like G3 rotavirus strains from Germany. </w:t>
      </w:r>
      <w:r w:rsidRPr="00A67321">
        <w:rPr>
          <w:rStyle w:val="Emphasis"/>
          <w:rFonts w:eastAsia="Times New Roman"/>
          <w:b w:val="0"/>
        </w:rPr>
        <w:t xml:space="preserve">Infect Genet </w:t>
      </w:r>
      <w:proofErr w:type="spellStart"/>
      <w:r w:rsidRPr="00A67321">
        <w:rPr>
          <w:rStyle w:val="Emphasis"/>
          <w:rFonts w:eastAsia="Times New Roman"/>
          <w:b w:val="0"/>
        </w:rPr>
        <w:t>Evol</w:t>
      </w:r>
      <w:proofErr w:type="spellEnd"/>
      <w:r>
        <w:rPr>
          <w:rFonts w:eastAsia="Times New Roman"/>
        </w:rPr>
        <w:t>. 2018</w:t>
      </w:r>
      <w:proofErr w:type="gramStart"/>
      <w:r>
        <w:rPr>
          <w:rFonts w:eastAsia="Times New Roman"/>
        </w:rPr>
        <w:t>;57:46</w:t>
      </w:r>
      <w:proofErr w:type="gramEnd"/>
      <w:r>
        <w:rPr>
          <w:rFonts w:eastAsia="Times New Roman"/>
        </w:rPr>
        <w:t xml:space="preserve">–50.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Utsumi</w:t>
      </w:r>
      <w:proofErr w:type="spellEnd"/>
      <w:r>
        <w:rPr>
          <w:rFonts w:eastAsia="Times New Roman"/>
        </w:rPr>
        <w:t xml:space="preserve"> T, </w:t>
      </w:r>
      <w:proofErr w:type="spellStart"/>
      <w:r>
        <w:rPr>
          <w:rFonts w:eastAsia="Times New Roman"/>
        </w:rPr>
        <w:t>Wahyuni</w:t>
      </w:r>
      <w:proofErr w:type="spellEnd"/>
      <w:r>
        <w:rPr>
          <w:rFonts w:eastAsia="Times New Roman"/>
        </w:rPr>
        <w:t xml:space="preserve"> RM, Doan YH, </w:t>
      </w:r>
      <w:proofErr w:type="spellStart"/>
      <w:r>
        <w:rPr>
          <w:rFonts w:eastAsia="Times New Roman"/>
        </w:rPr>
        <w:t>Dinana</w:t>
      </w:r>
      <w:proofErr w:type="spellEnd"/>
      <w:r>
        <w:rPr>
          <w:rFonts w:eastAsia="Times New Roman"/>
        </w:rPr>
        <w:t xml:space="preserve"> Z, </w:t>
      </w:r>
      <w:proofErr w:type="spellStart"/>
      <w:r>
        <w:rPr>
          <w:rFonts w:eastAsia="Times New Roman"/>
        </w:rPr>
        <w:t>Soegijanto</w:t>
      </w:r>
      <w:proofErr w:type="spellEnd"/>
      <w:r>
        <w:rPr>
          <w:rFonts w:eastAsia="Times New Roman"/>
        </w:rPr>
        <w:t xml:space="preserve"> S, </w:t>
      </w:r>
      <w:proofErr w:type="spellStart"/>
      <w:r>
        <w:rPr>
          <w:rFonts w:eastAsia="Times New Roman"/>
        </w:rPr>
        <w:t>Fujii</w:t>
      </w:r>
      <w:proofErr w:type="spellEnd"/>
      <w:r>
        <w:rPr>
          <w:rFonts w:eastAsia="Times New Roman"/>
        </w:rPr>
        <w:t xml:space="preserve"> Y, et al. Equine-like G3 rotavirus strains as predominant strains among children in Indonesia in 2015–2016. </w:t>
      </w:r>
      <w:r w:rsidRPr="00A67321">
        <w:rPr>
          <w:rStyle w:val="Emphasis"/>
          <w:rFonts w:eastAsia="Times New Roman"/>
          <w:b w:val="0"/>
        </w:rPr>
        <w:t xml:space="preserve">Infect Genet </w:t>
      </w:r>
      <w:proofErr w:type="spellStart"/>
      <w:r w:rsidRPr="00A67321">
        <w:rPr>
          <w:rStyle w:val="Emphasis"/>
          <w:rFonts w:eastAsia="Times New Roman"/>
          <w:b w:val="0"/>
        </w:rPr>
        <w:t>Evol</w:t>
      </w:r>
      <w:proofErr w:type="spellEnd"/>
      <w:r>
        <w:rPr>
          <w:rFonts w:eastAsia="Times New Roman"/>
        </w:rPr>
        <w:t>. 2018</w:t>
      </w:r>
      <w:proofErr w:type="gramStart"/>
      <w:r>
        <w:rPr>
          <w:rFonts w:eastAsia="Times New Roman"/>
        </w:rPr>
        <w:t>;61:224</w:t>
      </w:r>
      <w:proofErr w:type="gramEnd"/>
      <w:r>
        <w:rPr>
          <w:rFonts w:eastAsia="Times New Roman"/>
        </w:rPr>
        <w:t xml:space="preserve">–8. </w:t>
      </w:r>
    </w:p>
    <w:p w:rsidR="00E874B4" w:rsidRDefault="00E874B4" w:rsidP="00E874B4">
      <w:pPr>
        <w:numPr>
          <w:ilvl w:val="0"/>
          <w:numId w:val="8"/>
        </w:numPr>
        <w:spacing w:before="100" w:beforeAutospacing="1" w:after="100" w:afterAutospacing="1" w:line="240" w:lineRule="auto"/>
        <w:rPr>
          <w:rFonts w:eastAsia="Times New Roman"/>
        </w:rPr>
      </w:pPr>
      <w:r>
        <w:rPr>
          <w:rFonts w:eastAsia="Times New Roman"/>
        </w:rPr>
        <w:t xml:space="preserve">Yoshikawa T, </w:t>
      </w:r>
      <w:proofErr w:type="spellStart"/>
      <w:r>
        <w:rPr>
          <w:rFonts w:eastAsia="Times New Roman"/>
        </w:rPr>
        <w:t>Matsuki</w:t>
      </w:r>
      <w:proofErr w:type="spellEnd"/>
      <w:r>
        <w:rPr>
          <w:rFonts w:eastAsia="Times New Roman"/>
        </w:rPr>
        <w:t xml:space="preserve"> T, Sato K, Mizuno M, Shibata M, Hasegawa S, et al. Impact of rotavirus vaccination on the burden of acute gastroenteritis in Nagoya city, Japan. </w:t>
      </w:r>
      <w:r w:rsidRPr="00A67321">
        <w:rPr>
          <w:rStyle w:val="Emphasis"/>
          <w:rFonts w:eastAsia="Times New Roman"/>
          <w:b w:val="0"/>
        </w:rPr>
        <w:t>Vaccine</w:t>
      </w:r>
      <w:r>
        <w:rPr>
          <w:rFonts w:eastAsia="Times New Roman"/>
        </w:rPr>
        <w:t>. 2018</w:t>
      </w:r>
      <w:proofErr w:type="gramStart"/>
      <w:r>
        <w:rPr>
          <w:rFonts w:eastAsia="Times New Roman"/>
        </w:rPr>
        <w:t>;36</w:t>
      </w:r>
      <w:proofErr w:type="gramEnd"/>
      <w:r>
        <w:rPr>
          <w:rFonts w:eastAsia="Times New Roman"/>
        </w:rPr>
        <w:t xml:space="preserve">(4):527–34.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Markkula</w:t>
      </w:r>
      <w:proofErr w:type="spellEnd"/>
      <w:r>
        <w:rPr>
          <w:rFonts w:eastAsia="Times New Roman"/>
        </w:rPr>
        <w:t xml:space="preserve"> J, Hemming-</w:t>
      </w:r>
      <w:proofErr w:type="spellStart"/>
      <w:r>
        <w:rPr>
          <w:rFonts w:eastAsia="Times New Roman"/>
        </w:rPr>
        <w:t>Harlo</w:t>
      </w:r>
      <w:proofErr w:type="spellEnd"/>
      <w:r>
        <w:rPr>
          <w:rFonts w:eastAsia="Times New Roman"/>
        </w:rPr>
        <w:t xml:space="preserve"> M, </w:t>
      </w:r>
      <w:proofErr w:type="spellStart"/>
      <w:r>
        <w:rPr>
          <w:rFonts w:eastAsia="Times New Roman"/>
        </w:rPr>
        <w:t>Salminen</w:t>
      </w:r>
      <w:proofErr w:type="spellEnd"/>
      <w:r>
        <w:rPr>
          <w:rFonts w:eastAsia="Times New Roman"/>
        </w:rPr>
        <w:t xml:space="preserve"> MT, </w:t>
      </w:r>
      <w:proofErr w:type="spellStart"/>
      <w:r>
        <w:rPr>
          <w:rFonts w:eastAsia="Times New Roman"/>
        </w:rPr>
        <w:t>Savolainen-Kopra</w:t>
      </w:r>
      <w:proofErr w:type="spellEnd"/>
      <w:r>
        <w:rPr>
          <w:rFonts w:eastAsia="Times New Roman"/>
        </w:rPr>
        <w:t xml:space="preserve"> C, </w:t>
      </w:r>
      <w:proofErr w:type="spellStart"/>
      <w:r>
        <w:rPr>
          <w:rFonts w:eastAsia="Times New Roman"/>
        </w:rPr>
        <w:t>Pirhonen</w:t>
      </w:r>
      <w:proofErr w:type="spellEnd"/>
      <w:r>
        <w:rPr>
          <w:rFonts w:eastAsia="Times New Roman"/>
        </w:rPr>
        <w:t xml:space="preserve"> J, Al-Hello H, et al. Rotavirus epidemiology 5–6 years after universal rotavirus vaccination: persistent rotavirus activity in older children and elderly. </w:t>
      </w:r>
      <w:r w:rsidRPr="00A67321">
        <w:rPr>
          <w:rStyle w:val="Emphasis"/>
          <w:rFonts w:eastAsia="Times New Roman"/>
          <w:b w:val="0"/>
        </w:rPr>
        <w:t>Infect Dis (</w:t>
      </w:r>
      <w:proofErr w:type="spellStart"/>
      <w:r w:rsidRPr="00A67321">
        <w:rPr>
          <w:rStyle w:val="Emphasis"/>
          <w:rFonts w:eastAsia="Times New Roman"/>
          <w:b w:val="0"/>
        </w:rPr>
        <w:t>Lond</w:t>
      </w:r>
      <w:proofErr w:type="spellEnd"/>
      <w:r w:rsidRPr="00A67321">
        <w:rPr>
          <w:rStyle w:val="Emphasis"/>
          <w:rFonts w:eastAsia="Times New Roman"/>
          <w:b w:val="0"/>
        </w:rPr>
        <w:t>)</w:t>
      </w:r>
      <w:r>
        <w:rPr>
          <w:rFonts w:eastAsia="Times New Roman"/>
        </w:rPr>
        <w:t>. 2017</w:t>
      </w:r>
      <w:proofErr w:type="gramStart"/>
      <w:r>
        <w:rPr>
          <w:rFonts w:eastAsia="Times New Roman"/>
        </w:rPr>
        <w:t>;49</w:t>
      </w:r>
      <w:proofErr w:type="gramEnd"/>
      <w:r>
        <w:rPr>
          <w:rFonts w:eastAsia="Times New Roman"/>
        </w:rPr>
        <w:t xml:space="preserve">(5):388–95. </w:t>
      </w:r>
    </w:p>
    <w:p w:rsidR="00E874B4" w:rsidRDefault="00E874B4" w:rsidP="00E874B4">
      <w:pPr>
        <w:numPr>
          <w:ilvl w:val="0"/>
          <w:numId w:val="8"/>
        </w:numPr>
        <w:spacing w:before="100" w:beforeAutospacing="1" w:after="100" w:afterAutospacing="1" w:line="240" w:lineRule="auto"/>
        <w:rPr>
          <w:rFonts w:eastAsia="Times New Roman"/>
        </w:rPr>
      </w:pPr>
      <w:proofErr w:type="spellStart"/>
      <w:r>
        <w:rPr>
          <w:rFonts w:eastAsia="Times New Roman"/>
        </w:rPr>
        <w:t>Schepetiuk</w:t>
      </w:r>
      <w:proofErr w:type="spellEnd"/>
      <w:r>
        <w:rPr>
          <w:rFonts w:eastAsia="Times New Roman"/>
        </w:rPr>
        <w:t xml:space="preserve"> S, Kirkwood C, Roczo-Farkas S, Higgins G. Prevalence of </w:t>
      </w:r>
      <w:proofErr w:type="spellStart"/>
      <w:r>
        <w:rPr>
          <w:rFonts w:eastAsia="Times New Roman"/>
        </w:rPr>
        <w:t>RotaTeq</w:t>
      </w:r>
      <w:proofErr w:type="spellEnd"/>
      <w:r>
        <w:rPr>
          <w:rFonts w:eastAsia="Times New Roman"/>
        </w:rPr>
        <w:t xml:space="preserve"> vaccine viruses in routine faecal specimens. </w:t>
      </w:r>
      <w:r w:rsidRPr="00A67321">
        <w:rPr>
          <w:rStyle w:val="Emphasis"/>
          <w:rFonts w:eastAsia="Times New Roman"/>
          <w:b w:val="0"/>
        </w:rPr>
        <w:t xml:space="preserve">J </w:t>
      </w:r>
      <w:proofErr w:type="spellStart"/>
      <w:r w:rsidRPr="00A67321">
        <w:rPr>
          <w:rStyle w:val="Emphasis"/>
          <w:rFonts w:eastAsia="Times New Roman"/>
          <w:b w:val="0"/>
        </w:rPr>
        <w:t>Clin</w:t>
      </w:r>
      <w:proofErr w:type="spellEnd"/>
      <w:r w:rsidRPr="00A67321">
        <w:rPr>
          <w:rStyle w:val="Emphasis"/>
          <w:rFonts w:eastAsia="Times New Roman"/>
          <w:b w:val="0"/>
        </w:rPr>
        <w:t xml:space="preserve"> </w:t>
      </w:r>
      <w:proofErr w:type="spellStart"/>
      <w:r w:rsidRPr="00A67321">
        <w:rPr>
          <w:rStyle w:val="Emphasis"/>
          <w:rFonts w:eastAsia="Times New Roman"/>
          <w:b w:val="0"/>
        </w:rPr>
        <w:t>Virol</w:t>
      </w:r>
      <w:proofErr w:type="spellEnd"/>
      <w:r>
        <w:rPr>
          <w:rFonts w:eastAsia="Times New Roman"/>
        </w:rPr>
        <w:t>. 2015</w:t>
      </w:r>
      <w:proofErr w:type="gramStart"/>
      <w:r>
        <w:rPr>
          <w:rFonts w:eastAsia="Times New Roman"/>
        </w:rPr>
        <w:t>;70:S31</w:t>
      </w:r>
      <w:proofErr w:type="gramEnd"/>
      <w:r>
        <w:rPr>
          <w:rFonts w:eastAsia="Times New Roman"/>
        </w:rPr>
        <w:t>–2.</w:t>
      </w:r>
    </w:p>
    <w:p w:rsidR="008B5348" w:rsidRDefault="008B5348">
      <w:pPr>
        <w:rPr>
          <w:rStyle w:val="A10"/>
        </w:rPr>
      </w:pPr>
      <w:r>
        <w:rPr>
          <w:rStyle w:val="A10"/>
        </w:rPr>
        <w:br w:type="page"/>
      </w:r>
    </w:p>
    <w:p w:rsidR="008B5348" w:rsidRDefault="008B5348">
      <w:pPr>
        <w:rPr>
          <w:rStyle w:val="A10"/>
        </w:rPr>
        <w:sectPr w:rsidR="008B5348" w:rsidSect="00A30C37">
          <w:pgSz w:w="11906" w:h="16838"/>
          <w:pgMar w:top="720" w:right="720" w:bottom="1134" w:left="720" w:header="709" w:footer="284" w:gutter="0"/>
          <w:cols w:space="708"/>
          <w:titlePg/>
          <w:docGrid w:linePitch="360"/>
        </w:sectPr>
      </w:pP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John </w:t>
      </w:r>
      <w:proofErr w:type="spellStart"/>
      <w:r w:rsidR="00F55648">
        <w:rPr>
          <w:rFonts w:cstheme="minorHAnsi"/>
          <w:sz w:val="20"/>
          <w:szCs w:val="18"/>
        </w:rPr>
        <w:t>Kaldor</w:t>
      </w:r>
      <w:proofErr w:type="spellEnd"/>
      <w:r w:rsidR="00F55648">
        <w:rPr>
          <w:rFonts w:cstheme="minorHAnsi"/>
          <w:sz w:val="20"/>
          <w:szCs w:val="18"/>
        </w:rPr>
        <w:t xml:space="preserve">,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 xml:space="preserve">GPO Box 9848, </w:t>
      </w:r>
      <w:proofErr w:type="gramStart"/>
      <w:r w:rsidRPr="000606CC">
        <w:rPr>
          <w:rFonts w:cstheme="minorHAnsi"/>
          <w:sz w:val="20"/>
          <w:szCs w:val="18"/>
        </w:rPr>
        <w:t>(</w:t>
      </w:r>
      <w:proofErr w:type="gramEnd"/>
      <w:r w:rsidRPr="000606CC">
        <w:rPr>
          <w:rFonts w:cstheme="minorHAnsi"/>
          <w:sz w:val="20"/>
          <w:szCs w:val="18"/>
        </w:rPr>
        <w:t>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6DE" w:rsidRDefault="002026DE" w:rsidP="00E54DBA">
      <w:r>
        <w:separator/>
      </w:r>
    </w:p>
    <w:p w:rsidR="002026DE" w:rsidRDefault="002026DE"/>
    <w:p w:rsidR="002026DE" w:rsidRDefault="002026DE" w:rsidP="008714B0"/>
  </w:endnote>
  <w:endnote w:type="continuationSeparator" w:id="0">
    <w:p w:rsidR="002026DE" w:rsidRDefault="002026DE" w:rsidP="00E54DBA">
      <w:r>
        <w:continuationSeparator/>
      </w:r>
    </w:p>
    <w:p w:rsidR="002026DE" w:rsidRDefault="002026DE"/>
    <w:p w:rsidR="002026DE" w:rsidRDefault="002026D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6DE" w:rsidRPr="0042435E" w:rsidRDefault="002026D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16D65">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16D65">
      <w:rPr>
        <w:noProof/>
        <w:sz w:val="18"/>
      </w:rPr>
      <w:t>27</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A67321">
      <w:rPr>
        <w:i/>
        <w:sz w:val="18"/>
      </w:rPr>
      <w:t>Commun</w:t>
    </w:r>
    <w:proofErr w:type="spellEnd"/>
    <w:r w:rsidRPr="00A67321">
      <w:rPr>
        <w:i/>
        <w:sz w:val="18"/>
      </w:rPr>
      <w:t xml:space="preserve"> Dis </w:t>
    </w:r>
    <w:proofErr w:type="spellStart"/>
    <w:r w:rsidRPr="00A67321">
      <w:rPr>
        <w:i/>
        <w:sz w:val="18"/>
      </w:rPr>
      <w:t>Intell</w:t>
    </w:r>
    <w:proofErr w:type="spellEnd"/>
    <w:r w:rsidRPr="00A67321">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04476">
      <w:rPr>
        <w:sz w:val="18"/>
      </w:rPr>
      <w:t>https://doi.org/10.33321/cdi.2019.43.28</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116D65">
      <w:rPr>
        <w:sz w:val="18"/>
      </w:rPr>
      <w:t>16/07/2019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6DE" w:rsidRPr="00BB5378" w:rsidRDefault="002026DE"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16D65">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16D65">
      <w:rPr>
        <w:noProof/>
        <w:sz w:val="18"/>
      </w:rPr>
      <w:t>27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A67321">
      <w:rPr>
        <w:i/>
        <w:sz w:val="18"/>
      </w:rPr>
      <w:t>Commun</w:t>
    </w:r>
    <w:proofErr w:type="spellEnd"/>
    <w:r w:rsidRPr="00A67321">
      <w:rPr>
        <w:i/>
        <w:sz w:val="18"/>
      </w:rPr>
      <w:t xml:space="preserve"> Dis </w:t>
    </w:r>
    <w:proofErr w:type="spellStart"/>
    <w:r w:rsidRPr="00A67321">
      <w:rPr>
        <w:i/>
        <w:sz w:val="18"/>
      </w:rPr>
      <w:t>Intell</w:t>
    </w:r>
    <w:proofErr w:type="spellEnd"/>
    <w:r w:rsidRPr="00A67321">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sidR="00D04476">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D04476">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D04476">
      <w:rPr>
        <w:sz w:val="18"/>
      </w:rPr>
      <w:t>https://doi.org/10.33321/cdi.2019.43.28</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116D65">
      <w:rPr>
        <w:sz w:val="18"/>
      </w:rPr>
      <w:t>16/07/2019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6DE" w:rsidRDefault="002026DE" w:rsidP="00E54DBA">
      <w:r>
        <w:separator/>
      </w:r>
    </w:p>
    <w:p w:rsidR="002026DE" w:rsidRDefault="002026DE"/>
    <w:p w:rsidR="002026DE" w:rsidRDefault="002026DE" w:rsidP="008714B0"/>
  </w:footnote>
  <w:footnote w:type="continuationSeparator" w:id="0">
    <w:p w:rsidR="002026DE" w:rsidRDefault="002026DE" w:rsidP="00E54DBA">
      <w:r>
        <w:continuationSeparator/>
      </w:r>
    </w:p>
    <w:p w:rsidR="002026DE" w:rsidRDefault="002026DE"/>
    <w:p w:rsidR="002026DE" w:rsidRDefault="002026DE" w:rsidP="008714B0"/>
  </w:footnote>
  <w:footnote w:id="1">
    <w:p w:rsidR="002026DE" w:rsidRDefault="002026DE">
      <w:pPr>
        <w:pStyle w:val="FootnoteText"/>
      </w:pPr>
      <w:r>
        <w:rPr>
          <w:rStyle w:val="FootnoteReference"/>
        </w:rPr>
        <w:footnoteRef/>
      </w:r>
      <w:r>
        <w:t xml:space="preserve"> All 74 samples were collected in Northern Territory, then referred to WDP for rotavirus diagnostic t</w:t>
      </w:r>
      <w:bookmarkStart w:id="0" w:name="_GoBack"/>
      <w:bookmarkEnd w:id="0"/>
      <w:r>
        <w:t>esting (See Figure 1)</w:t>
      </w:r>
    </w:p>
  </w:footnote>
  <w:footnote w:id="2">
    <w:p w:rsidR="002026DE" w:rsidRDefault="002026DE">
      <w:pPr>
        <w:pStyle w:val="FootnoteText"/>
      </w:pPr>
      <w:r>
        <w:rPr>
          <w:rStyle w:val="FootnoteReference"/>
        </w:rPr>
        <w:footnoteRef/>
      </w:r>
      <w:r>
        <w:t xml:space="preserve"> </w:t>
      </w:r>
      <w:r>
        <w:rPr>
          <w:rFonts w:cs="Myriad Pro"/>
          <w:color w:val="211D1E"/>
          <w:sz w:val="16"/>
          <w:szCs w:val="16"/>
        </w:rPr>
        <w:t>25 samples were collected in Northern Territory, then referred to SA Pathology for rotavirus diagnostic testing (See Figure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6DE" w:rsidRPr="00A153B6" w:rsidRDefault="00116D65"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026DE">
          <w:t>Annual report</w:t>
        </w:r>
      </w:sdtContent>
    </w:sdt>
    <w:r w:rsidR="002026DE">
      <w:ptab w:relativeTo="margin" w:alignment="right" w:leader="none"/>
    </w:r>
    <w:r w:rsidR="002026DE"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6DE" w:rsidRPr="000A5F42" w:rsidRDefault="002026DE"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D443269"/>
    <w:multiLevelType w:val="multilevel"/>
    <w:tmpl w:val="5D88B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A075CD"/>
    <w:multiLevelType w:val="multilevel"/>
    <w:tmpl w:val="0B1C8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5"/>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20"/>
  <w:noPunctuationKerning/>
  <w:characterSpacingControl w:val="doNotCompress"/>
  <w:hdrShapeDefaults>
    <o:shapedefaults v:ext="edit" spidmax="8193"/>
  </w:hdrShapeDefaults>
  <w:footnotePr>
    <w:numFmt w:val="lowerRoman"/>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168"/>
    <w:rsid w:val="00000B5B"/>
    <w:rsid w:val="00001611"/>
    <w:rsid w:val="000104A8"/>
    <w:rsid w:val="0001246E"/>
    <w:rsid w:val="000124B1"/>
    <w:rsid w:val="00016FE6"/>
    <w:rsid w:val="000200FA"/>
    <w:rsid w:val="00031064"/>
    <w:rsid w:val="00031692"/>
    <w:rsid w:val="00032531"/>
    <w:rsid w:val="00040ED2"/>
    <w:rsid w:val="000471BF"/>
    <w:rsid w:val="00047B68"/>
    <w:rsid w:val="00052600"/>
    <w:rsid w:val="0005643C"/>
    <w:rsid w:val="0006264A"/>
    <w:rsid w:val="00066E7A"/>
    <w:rsid w:val="00073D77"/>
    <w:rsid w:val="00075022"/>
    <w:rsid w:val="00081655"/>
    <w:rsid w:val="00083211"/>
    <w:rsid w:val="00085C2A"/>
    <w:rsid w:val="000864E0"/>
    <w:rsid w:val="000969B3"/>
    <w:rsid w:val="000A5F42"/>
    <w:rsid w:val="000C7168"/>
    <w:rsid w:val="000D175C"/>
    <w:rsid w:val="000D2AD4"/>
    <w:rsid w:val="000D4B4D"/>
    <w:rsid w:val="000F78B6"/>
    <w:rsid w:val="00113BEF"/>
    <w:rsid w:val="00113D58"/>
    <w:rsid w:val="00116D65"/>
    <w:rsid w:val="001378A3"/>
    <w:rsid w:val="00144E94"/>
    <w:rsid w:val="00155582"/>
    <w:rsid w:val="00161590"/>
    <w:rsid w:val="00171CC0"/>
    <w:rsid w:val="00175494"/>
    <w:rsid w:val="00175629"/>
    <w:rsid w:val="001766FB"/>
    <w:rsid w:val="001830EC"/>
    <w:rsid w:val="00183534"/>
    <w:rsid w:val="0019027F"/>
    <w:rsid w:val="001A20E8"/>
    <w:rsid w:val="001A4A96"/>
    <w:rsid w:val="001A5D05"/>
    <w:rsid w:val="001A796C"/>
    <w:rsid w:val="001B2614"/>
    <w:rsid w:val="001B37B8"/>
    <w:rsid w:val="001B552F"/>
    <w:rsid w:val="001C0893"/>
    <w:rsid w:val="001C1303"/>
    <w:rsid w:val="001C3BBE"/>
    <w:rsid w:val="001C70B2"/>
    <w:rsid w:val="001D37C7"/>
    <w:rsid w:val="001D6888"/>
    <w:rsid w:val="002026DE"/>
    <w:rsid w:val="00215D24"/>
    <w:rsid w:val="002276DC"/>
    <w:rsid w:val="00227E00"/>
    <w:rsid w:val="002307CB"/>
    <w:rsid w:val="00231046"/>
    <w:rsid w:val="002320FD"/>
    <w:rsid w:val="00234F21"/>
    <w:rsid w:val="00242659"/>
    <w:rsid w:val="002428F7"/>
    <w:rsid w:val="0024315F"/>
    <w:rsid w:val="00252C9A"/>
    <w:rsid w:val="00256309"/>
    <w:rsid w:val="00257484"/>
    <w:rsid w:val="00257F34"/>
    <w:rsid w:val="00260636"/>
    <w:rsid w:val="00275C78"/>
    <w:rsid w:val="00280594"/>
    <w:rsid w:val="00281EE3"/>
    <w:rsid w:val="00284E4A"/>
    <w:rsid w:val="002854BB"/>
    <w:rsid w:val="00287093"/>
    <w:rsid w:val="002A3799"/>
    <w:rsid w:val="002A3BCC"/>
    <w:rsid w:val="002A4516"/>
    <w:rsid w:val="002A569F"/>
    <w:rsid w:val="002A7066"/>
    <w:rsid w:val="002B001E"/>
    <w:rsid w:val="002B09B7"/>
    <w:rsid w:val="002B75A9"/>
    <w:rsid w:val="002C21B0"/>
    <w:rsid w:val="002D453C"/>
    <w:rsid w:val="002E2FB3"/>
    <w:rsid w:val="002F327B"/>
    <w:rsid w:val="00301626"/>
    <w:rsid w:val="003059EC"/>
    <w:rsid w:val="00316CCD"/>
    <w:rsid w:val="00322E68"/>
    <w:rsid w:val="00324F7E"/>
    <w:rsid w:val="00330F3E"/>
    <w:rsid w:val="003323BC"/>
    <w:rsid w:val="003401D7"/>
    <w:rsid w:val="00346D42"/>
    <w:rsid w:val="00346E11"/>
    <w:rsid w:val="003567D1"/>
    <w:rsid w:val="003575D7"/>
    <w:rsid w:val="003601C0"/>
    <w:rsid w:val="00361B32"/>
    <w:rsid w:val="003635F5"/>
    <w:rsid w:val="00372A88"/>
    <w:rsid w:val="00381A0F"/>
    <w:rsid w:val="00392D0B"/>
    <w:rsid w:val="003A1B3A"/>
    <w:rsid w:val="003A40F5"/>
    <w:rsid w:val="003B5B8C"/>
    <w:rsid w:val="003C6227"/>
    <w:rsid w:val="003D2D7F"/>
    <w:rsid w:val="003D30A2"/>
    <w:rsid w:val="003D79B1"/>
    <w:rsid w:val="003E74EE"/>
    <w:rsid w:val="003F0552"/>
    <w:rsid w:val="003F3BC2"/>
    <w:rsid w:val="00401ED1"/>
    <w:rsid w:val="0040224C"/>
    <w:rsid w:val="00413EE1"/>
    <w:rsid w:val="004164BB"/>
    <w:rsid w:val="00421ECE"/>
    <w:rsid w:val="00422FEB"/>
    <w:rsid w:val="0042435E"/>
    <w:rsid w:val="004315F5"/>
    <w:rsid w:val="00433456"/>
    <w:rsid w:val="004339FD"/>
    <w:rsid w:val="00433DFA"/>
    <w:rsid w:val="00435D67"/>
    <w:rsid w:val="004455D9"/>
    <w:rsid w:val="00464A58"/>
    <w:rsid w:val="00467ADA"/>
    <w:rsid w:val="00473D2D"/>
    <w:rsid w:val="00475EEF"/>
    <w:rsid w:val="00476667"/>
    <w:rsid w:val="004A2125"/>
    <w:rsid w:val="004A3284"/>
    <w:rsid w:val="004A38F6"/>
    <w:rsid w:val="004A60F4"/>
    <w:rsid w:val="004B2231"/>
    <w:rsid w:val="004B4EB6"/>
    <w:rsid w:val="004C307D"/>
    <w:rsid w:val="004C67C6"/>
    <w:rsid w:val="004D29DE"/>
    <w:rsid w:val="00510EAC"/>
    <w:rsid w:val="00542A57"/>
    <w:rsid w:val="00543A0C"/>
    <w:rsid w:val="00571C5A"/>
    <w:rsid w:val="005732C0"/>
    <w:rsid w:val="0057336D"/>
    <w:rsid w:val="0057489A"/>
    <w:rsid w:val="00574ACF"/>
    <w:rsid w:val="0057513D"/>
    <w:rsid w:val="00580372"/>
    <w:rsid w:val="00581588"/>
    <w:rsid w:val="0058540B"/>
    <w:rsid w:val="00587C87"/>
    <w:rsid w:val="00590B80"/>
    <w:rsid w:val="005A47AD"/>
    <w:rsid w:val="005B3134"/>
    <w:rsid w:val="005B3964"/>
    <w:rsid w:val="005B4E61"/>
    <w:rsid w:val="005B595A"/>
    <w:rsid w:val="005B66C2"/>
    <w:rsid w:val="005C632C"/>
    <w:rsid w:val="005D2465"/>
    <w:rsid w:val="005E4229"/>
    <w:rsid w:val="005E540E"/>
    <w:rsid w:val="005E55FB"/>
    <w:rsid w:val="005F0C95"/>
    <w:rsid w:val="005F16BB"/>
    <w:rsid w:val="00600C85"/>
    <w:rsid w:val="006033FF"/>
    <w:rsid w:val="00607115"/>
    <w:rsid w:val="00620768"/>
    <w:rsid w:val="0062594B"/>
    <w:rsid w:val="00631406"/>
    <w:rsid w:val="006324FF"/>
    <w:rsid w:val="006351D6"/>
    <w:rsid w:val="00636E0D"/>
    <w:rsid w:val="0064142F"/>
    <w:rsid w:val="00643CB4"/>
    <w:rsid w:val="00656427"/>
    <w:rsid w:val="00660255"/>
    <w:rsid w:val="00661876"/>
    <w:rsid w:val="00665B47"/>
    <w:rsid w:val="006971F3"/>
    <w:rsid w:val="006C74A3"/>
    <w:rsid w:val="006D1381"/>
    <w:rsid w:val="006D31BC"/>
    <w:rsid w:val="006E419B"/>
    <w:rsid w:val="006E7943"/>
    <w:rsid w:val="006F24EA"/>
    <w:rsid w:val="00704CA9"/>
    <w:rsid w:val="0071048D"/>
    <w:rsid w:val="00710F86"/>
    <w:rsid w:val="007111A8"/>
    <w:rsid w:val="00731BC3"/>
    <w:rsid w:val="007367B8"/>
    <w:rsid w:val="00741192"/>
    <w:rsid w:val="00743A33"/>
    <w:rsid w:val="00746080"/>
    <w:rsid w:val="0075144A"/>
    <w:rsid w:val="00771BAA"/>
    <w:rsid w:val="00786329"/>
    <w:rsid w:val="00792C7D"/>
    <w:rsid w:val="00794A4D"/>
    <w:rsid w:val="007A5234"/>
    <w:rsid w:val="007B0042"/>
    <w:rsid w:val="007B28A8"/>
    <w:rsid w:val="007B7854"/>
    <w:rsid w:val="007C5366"/>
    <w:rsid w:val="007C56A1"/>
    <w:rsid w:val="007C6454"/>
    <w:rsid w:val="007E01E0"/>
    <w:rsid w:val="007F0B93"/>
    <w:rsid w:val="007F2ECA"/>
    <w:rsid w:val="00811708"/>
    <w:rsid w:val="00816B90"/>
    <w:rsid w:val="00817799"/>
    <w:rsid w:val="00822F5F"/>
    <w:rsid w:val="00824FD3"/>
    <w:rsid w:val="00826589"/>
    <w:rsid w:val="00830A61"/>
    <w:rsid w:val="00834BCC"/>
    <w:rsid w:val="00846994"/>
    <w:rsid w:val="00850D54"/>
    <w:rsid w:val="008714B0"/>
    <w:rsid w:val="00876331"/>
    <w:rsid w:val="00876459"/>
    <w:rsid w:val="00880726"/>
    <w:rsid w:val="008A3544"/>
    <w:rsid w:val="008B48B8"/>
    <w:rsid w:val="008B5348"/>
    <w:rsid w:val="008B58F8"/>
    <w:rsid w:val="008C0712"/>
    <w:rsid w:val="008C4520"/>
    <w:rsid w:val="008C5F09"/>
    <w:rsid w:val="008D470F"/>
    <w:rsid w:val="008E1F8F"/>
    <w:rsid w:val="008E4768"/>
    <w:rsid w:val="008E761E"/>
    <w:rsid w:val="008F0E83"/>
    <w:rsid w:val="008F207C"/>
    <w:rsid w:val="008F36C6"/>
    <w:rsid w:val="008F77B3"/>
    <w:rsid w:val="009008F5"/>
    <w:rsid w:val="00904CC1"/>
    <w:rsid w:val="009066AF"/>
    <w:rsid w:val="00912050"/>
    <w:rsid w:val="00912E48"/>
    <w:rsid w:val="0092746F"/>
    <w:rsid w:val="00930807"/>
    <w:rsid w:val="00935DC9"/>
    <w:rsid w:val="0094125D"/>
    <w:rsid w:val="009431D0"/>
    <w:rsid w:val="009446C0"/>
    <w:rsid w:val="0096082E"/>
    <w:rsid w:val="00960F29"/>
    <w:rsid w:val="00961347"/>
    <w:rsid w:val="00965AF8"/>
    <w:rsid w:val="00967410"/>
    <w:rsid w:val="00967D73"/>
    <w:rsid w:val="00972526"/>
    <w:rsid w:val="00975CCA"/>
    <w:rsid w:val="0098119A"/>
    <w:rsid w:val="00984AAF"/>
    <w:rsid w:val="00991B09"/>
    <w:rsid w:val="00993CB2"/>
    <w:rsid w:val="009A5166"/>
    <w:rsid w:val="009A76F8"/>
    <w:rsid w:val="009B2B83"/>
    <w:rsid w:val="009C49F8"/>
    <w:rsid w:val="009D5496"/>
    <w:rsid w:val="009D77CC"/>
    <w:rsid w:val="009E2423"/>
    <w:rsid w:val="009E55D7"/>
    <w:rsid w:val="009F068D"/>
    <w:rsid w:val="009F4150"/>
    <w:rsid w:val="009F5665"/>
    <w:rsid w:val="009F5DAD"/>
    <w:rsid w:val="00A01BCA"/>
    <w:rsid w:val="00A10458"/>
    <w:rsid w:val="00A14D4E"/>
    <w:rsid w:val="00A153B6"/>
    <w:rsid w:val="00A164D5"/>
    <w:rsid w:val="00A273C3"/>
    <w:rsid w:val="00A30C37"/>
    <w:rsid w:val="00A36C65"/>
    <w:rsid w:val="00A41BBE"/>
    <w:rsid w:val="00A45BDD"/>
    <w:rsid w:val="00A46A0A"/>
    <w:rsid w:val="00A553F8"/>
    <w:rsid w:val="00A6708F"/>
    <w:rsid w:val="00A67321"/>
    <w:rsid w:val="00A71BF6"/>
    <w:rsid w:val="00A86F9A"/>
    <w:rsid w:val="00AA1498"/>
    <w:rsid w:val="00AA35E6"/>
    <w:rsid w:val="00AA50B6"/>
    <w:rsid w:val="00AB0FE3"/>
    <w:rsid w:val="00AB3472"/>
    <w:rsid w:val="00AB5CA9"/>
    <w:rsid w:val="00AB5CDD"/>
    <w:rsid w:val="00AC3A6B"/>
    <w:rsid w:val="00AD0762"/>
    <w:rsid w:val="00AD09AE"/>
    <w:rsid w:val="00AD67BE"/>
    <w:rsid w:val="00AE4452"/>
    <w:rsid w:val="00AE766E"/>
    <w:rsid w:val="00AE7C38"/>
    <w:rsid w:val="00AF52CD"/>
    <w:rsid w:val="00B01F99"/>
    <w:rsid w:val="00B02B37"/>
    <w:rsid w:val="00B05276"/>
    <w:rsid w:val="00B1209C"/>
    <w:rsid w:val="00B132DB"/>
    <w:rsid w:val="00B303E3"/>
    <w:rsid w:val="00B31427"/>
    <w:rsid w:val="00B33861"/>
    <w:rsid w:val="00B40DE2"/>
    <w:rsid w:val="00B4322A"/>
    <w:rsid w:val="00B43E71"/>
    <w:rsid w:val="00B50210"/>
    <w:rsid w:val="00B51865"/>
    <w:rsid w:val="00B53259"/>
    <w:rsid w:val="00B53955"/>
    <w:rsid w:val="00B6408A"/>
    <w:rsid w:val="00B714B8"/>
    <w:rsid w:val="00B779BD"/>
    <w:rsid w:val="00B8172A"/>
    <w:rsid w:val="00B82C2C"/>
    <w:rsid w:val="00B863DD"/>
    <w:rsid w:val="00B8720B"/>
    <w:rsid w:val="00B876EF"/>
    <w:rsid w:val="00BA4697"/>
    <w:rsid w:val="00BB4E35"/>
    <w:rsid w:val="00BB5378"/>
    <w:rsid w:val="00BC0BD3"/>
    <w:rsid w:val="00BC6F91"/>
    <w:rsid w:val="00BD0107"/>
    <w:rsid w:val="00BE0C33"/>
    <w:rsid w:val="00BE262C"/>
    <w:rsid w:val="00BE6C3D"/>
    <w:rsid w:val="00BE7E02"/>
    <w:rsid w:val="00C04E9E"/>
    <w:rsid w:val="00C07606"/>
    <w:rsid w:val="00C12542"/>
    <w:rsid w:val="00C14EE3"/>
    <w:rsid w:val="00C221F8"/>
    <w:rsid w:val="00C24725"/>
    <w:rsid w:val="00C30BA9"/>
    <w:rsid w:val="00C310EB"/>
    <w:rsid w:val="00C3541E"/>
    <w:rsid w:val="00C36A8F"/>
    <w:rsid w:val="00C378FA"/>
    <w:rsid w:val="00C42FFA"/>
    <w:rsid w:val="00C45E6B"/>
    <w:rsid w:val="00C507D8"/>
    <w:rsid w:val="00C62EAC"/>
    <w:rsid w:val="00C63F9F"/>
    <w:rsid w:val="00C7723C"/>
    <w:rsid w:val="00C8175C"/>
    <w:rsid w:val="00C838F5"/>
    <w:rsid w:val="00C84A62"/>
    <w:rsid w:val="00CA1AF4"/>
    <w:rsid w:val="00CA29F6"/>
    <w:rsid w:val="00CA4E58"/>
    <w:rsid w:val="00CA6068"/>
    <w:rsid w:val="00CB15E1"/>
    <w:rsid w:val="00CB3D46"/>
    <w:rsid w:val="00CD1A87"/>
    <w:rsid w:val="00CD35F3"/>
    <w:rsid w:val="00CD5C93"/>
    <w:rsid w:val="00CE342B"/>
    <w:rsid w:val="00CE50F8"/>
    <w:rsid w:val="00CF320C"/>
    <w:rsid w:val="00CF3A4B"/>
    <w:rsid w:val="00CF4001"/>
    <w:rsid w:val="00D04476"/>
    <w:rsid w:val="00D05823"/>
    <w:rsid w:val="00D05837"/>
    <w:rsid w:val="00D12D8A"/>
    <w:rsid w:val="00D13E0C"/>
    <w:rsid w:val="00D25896"/>
    <w:rsid w:val="00D373A1"/>
    <w:rsid w:val="00D37C0F"/>
    <w:rsid w:val="00D45661"/>
    <w:rsid w:val="00D45943"/>
    <w:rsid w:val="00D45F73"/>
    <w:rsid w:val="00D47D22"/>
    <w:rsid w:val="00D51865"/>
    <w:rsid w:val="00D51D0C"/>
    <w:rsid w:val="00D66467"/>
    <w:rsid w:val="00D74140"/>
    <w:rsid w:val="00D8397B"/>
    <w:rsid w:val="00DA4734"/>
    <w:rsid w:val="00DA6E56"/>
    <w:rsid w:val="00DA6EEA"/>
    <w:rsid w:val="00DC32AC"/>
    <w:rsid w:val="00DC6705"/>
    <w:rsid w:val="00DD2DE8"/>
    <w:rsid w:val="00DE38B4"/>
    <w:rsid w:val="00DE5D02"/>
    <w:rsid w:val="00E005A9"/>
    <w:rsid w:val="00E1166E"/>
    <w:rsid w:val="00E24DC0"/>
    <w:rsid w:val="00E2519C"/>
    <w:rsid w:val="00E25F2A"/>
    <w:rsid w:val="00E41455"/>
    <w:rsid w:val="00E41988"/>
    <w:rsid w:val="00E4238E"/>
    <w:rsid w:val="00E42AD2"/>
    <w:rsid w:val="00E43E33"/>
    <w:rsid w:val="00E50856"/>
    <w:rsid w:val="00E538CC"/>
    <w:rsid w:val="00E54DBA"/>
    <w:rsid w:val="00E63D7C"/>
    <w:rsid w:val="00E640D5"/>
    <w:rsid w:val="00E67691"/>
    <w:rsid w:val="00E82A95"/>
    <w:rsid w:val="00E874B4"/>
    <w:rsid w:val="00E92237"/>
    <w:rsid w:val="00E951EF"/>
    <w:rsid w:val="00E976AD"/>
    <w:rsid w:val="00EA3D54"/>
    <w:rsid w:val="00EA56D9"/>
    <w:rsid w:val="00EA5CE3"/>
    <w:rsid w:val="00EB0882"/>
    <w:rsid w:val="00EB2763"/>
    <w:rsid w:val="00EB51C1"/>
    <w:rsid w:val="00EB5AE1"/>
    <w:rsid w:val="00EB5E0B"/>
    <w:rsid w:val="00EC2171"/>
    <w:rsid w:val="00EC61DE"/>
    <w:rsid w:val="00ED0AB4"/>
    <w:rsid w:val="00ED442D"/>
    <w:rsid w:val="00ED70C2"/>
    <w:rsid w:val="00EE18FF"/>
    <w:rsid w:val="00EE489F"/>
    <w:rsid w:val="00F0647F"/>
    <w:rsid w:val="00F10CE3"/>
    <w:rsid w:val="00F14F3B"/>
    <w:rsid w:val="00F16362"/>
    <w:rsid w:val="00F207C7"/>
    <w:rsid w:val="00F36B6D"/>
    <w:rsid w:val="00F43FA3"/>
    <w:rsid w:val="00F55648"/>
    <w:rsid w:val="00F6163E"/>
    <w:rsid w:val="00F70046"/>
    <w:rsid w:val="00F748C2"/>
    <w:rsid w:val="00F76C5C"/>
    <w:rsid w:val="00F81EF3"/>
    <w:rsid w:val="00F84496"/>
    <w:rsid w:val="00F85DCB"/>
    <w:rsid w:val="00F86994"/>
    <w:rsid w:val="00F86F9C"/>
    <w:rsid w:val="00F9580D"/>
    <w:rsid w:val="00FA019B"/>
    <w:rsid w:val="00FA1AD4"/>
    <w:rsid w:val="00FC002E"/>
    <w:rsid w:val="00FC26AA"/>
    <w:rsid w:val="00FC4C23"/>
    <w:rsid w:val="00FC642E"/>
    <w:rsid w:val="00FE2AE4"/>
    <w:rsid w:val="00FE4484"/>
    <w:rsid w:val="00FE689F"/>
    <w:rsid w:val="00FE6918"/>
    <w:rsid w:val="00FE7809"/>
    <w:rsid w:val="00FE7AEA"/>
    <w:rsid w:val="00FF408B"/>
    <w:rsid w:val="00FF4C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0A76D4E-4F46-4A14-848B-338571E5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uiPriority w:val="99"/>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customStyle="1" w:styleId="msonormal0">
    <w:name w:val="msonormal"/>
    <w:basedOn w:val="Normal"/>
    <w:rsid w:val="00E874B4"/>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C8175C"/>
    <w:rPr>
      <w:sz w:val="16"/>
      <w:szCs w:val="16"/>
    </w:rPr>
  </w:style>
  <w:style w:type="paragraph" w:styleId="CommentText">
    <w:name w:val="annotation text"/>
    <w:basedOn w:val="Normal"/>
    <w:link w:val="CommentTextChar"/>
    <w:uiPriority w:val="99"/>
    <w:semiHidden/>
    <w:unhideWhenUsed/>
    <w:rsid w:val="00C8175C"/>
    <w:pPr>
      <w:spacing w:line="240" w:lineRule="auto"/>
    </w:pPr>
    <w:rPr>
      <w:sz w:val="20"/>
      <w:szCs w:val="20"/>
    </w:rPr>
  </w:style>
  <w:style w:type="character" w:customStyle="1" w:styleId="CommentTextChar">
    <w:name w:val="Comment Text Char"/>
    <w:basedOn w:val="DefaultParagraphFont"/>
    <w:link w:val="CommentText"/>
    <w:uiPriority w:val="99"/>
    <w:semiHidden/>
    <w:rsid w:val="00C8175C"/>
    <w:rPr>
      <w:sz w:val="20"/>
      <w:szCs w:val="20"/>
    </w:rPr>
  </w:style>
  <w:style w:type="paragraph" w:styleId="CommentSubject">
    <w:name w:val="annotation subject"/>
    <w:basedOn w:val="CommentText"/>
    <w:next w:val="CommentText"/>
    <w:link w:val="CommentSubjectChar"/>
    <w:uiPriority w:val="99"/>
    <w:semiHidden/>
    <w:unhideWhenUsed/>
    <w:rsid w:val="00C8175C"/>
    <w:rPr>
      <w:b/>
      <w:bCs/>
    </w:rPr>
  </w:style>
  <w:style w:type="character" w:customStyle="1" w:styleId="CommentSubjectChar">
    <w:name w:val="Comment Subject Char"/>
    <w:basedOn w:val="CommentTextChar"/>
    <w:link w:val="CommentSubject"/>
    <w:uiPriority w:val="99"/>
    <w:semiHidden/>
    <w:rsid w:val="00C8175C"/>
    <w:rPr>
      <w:b/>
      <w:bCs/>
      <w:sz w:val="20"/>
      <w:szCs w:val="20"/>
    </w:rPr>
  </w:style>
  <w:style w:type="paragraph" w:customStyle="1" w:styleId="Pa0">
    <w:name w:val="Pa0"/>
    <w:basedOn w:val="Normal"/>
    <w:next w:val="Normal"/>
    <w:uiPriority w:val="99"/>
    <w:rsid w:val="00C8175C"/>
    <w:pPr>
      <w:autoSpaceDE w:val="0"/>
      <w:autoSpaceDN w:val="0"/>
      <w:adjustRightInd w:val="0"/>
      <w:spacing w:after="0" w:line="241" w:lineRule="atLeast"/>
    </w:pPr>
    <w:rPr>
      <w:rFonts w:ascii="Myriad Pro" w:hAnsi="Myriad Pro"/>
      <w:sz w:val="24"/>
      <w:szCs w:val="24"/>
    </w:rPr>
  </w:style>
  <w:style w:type="paragraph" w:styleId="FootnoteText">
    <w:name w:val="footnote text"/>
    <w:basedOn w:val="Normal"/>
    <w:link w:val="FootnoteTextChar"/>
    <w:uiPriority w:val="99"/>
    <w:semiHidden/>
    <w:unhideWhenUsed/>
    <w:rsid w:val="00FA1A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1AD4"/>
    <w:rPr>
      <w:sz w:val="20"/>
      <w:szCs w:val="20"/>
    </w:rPr>
  </w:style>
  <w:style w:type="character" w:styleId="FootnoteReference">
    <w:name w:val="footnote reference"/>
    <w:basedOn w:val="DefaultParagraphFont"/>
    <w:uiPriority w:val="99"/>
    <w:semiHidden/>
    <w:unhideWhenUsed/>
    <w:rsid w:val="00FA1AD4"/>
    <w:rPr>
      <w:vertAlign w:val="superscript"/>
    </w:rPr>
  </w:style>
  <w:style w:type="paragraph" w:customStyle="1" w:styleId="P">
    <w:name w:val="P"/>
    <w:basedOn w:val="Normal"/>
    <w:uiPriority w:val="99"/>
    <w:rsid w:val="00B303E3"/>
    <w:pPr>
      <w:autoSpaceDE w:val="0"/>
      <w:autoSpaceDN w:val="0"/>
      <w:adjustRightInd w:val="0"/>
      <w:spacing w:after="240" w:line="288" w:lineRule="auto"/>
      <w:jc w:val="both"/>
      <w:textAlignment w:val="baseline"/>
    </w:pPr>
    <w:rPr>
      <w:rFonts w:ascii="Minion Pro" w:hAnsi="Minion Pro" w:cs="Minion Pro"/>
      <w:color w:val="000000"/>
      <w:sz w:val="24"/>
      <w:szCs w:val="24"/>
      <w:lang w:val="en-GB"/>
    </w:rPr>
  </w:style>
  <w:style w:type="paragraph" w:customStyle="1" w:styleId="FiguretableTitle">
    <w:name w:val="Figure/table Title"/>
    <w:basedOn w:val="P"/>
    <w:uiPriority w:val="99"/>
    <w:rsid w:val="00B303E3"/>
    <w:pPr>
      <w:tabs>
        <w:tab w:val="left" w:pos="1040"/>
      </w:tabs>
      <w:suppressAutoHyphens/>
      <w:jc w:val="left"/>
    </w:pPr>
    <w:rPr>
      <w:rFonts w:ascii="Minion Pro SmBd" w:hAnsi="Minion Pro SmBd" w:cs="Minion Pro Sm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9\template-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9D5385-CAB0-4640-BA03-AF220AA48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template-2019.dotm</Template>
  <TotalTime>92</TotalTime>
  <Pages>27</Pages>
  <Words>7768</Words>
  <Characters>42647</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Communicable Diseases Intelligence 2019 - Australian Rotavirus Surveillance Program: Annual Report, 2017</vt:lpstr>
    </vt:vector>
  </TitlesOfParts>
  <Company>Australian Government, Department of Health</Company>
  <LinksUpToDate>false</LinksUpToDate>
  <CharactersWithSpaces>50315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Rotavirus Surveillance Program: Annual Report, 2017</dc:title>
  <dc:subject>The Australian Rotavirus Surveillance Program has characterised the G- and P- genotypes of rotavirus strains causing severe disease in Australian children since 1999. This report describes the genotype distribution of rotavirus strains causing severe gastroenteritis in Australia for the period 1 January to 31 December, 2017.</dc:subject>
  <dc:creator>Susie Roczo-Farkas;Daniel Cowley;Julie E Bines;and the Australian Rotavirus Surveillance Group</dc:creator>
  <cp:keywords>; rotavirus; gastroenteritis; genotypes; surveillance; Australia; vaccine; RotaTeq; Rotarix; G2P[4]; G8P[8]; equine-like G3P[8]</cp:keywords>
  <dc:description>© Commonwealth of Australia CC BY-NC-ND ISSN: 2209-6051 (Online)</dc:description>
  <cp:lastModifiedBy>YOUSEFI, Kasra</cp:lastModifiedBy>
  <cp:revision>21</cp:revision>
  <cp:lastPrinted>2018-05-10T02:19:00Z</cp:lastPrinted>
  <dcterms:created xsi:type="dcterms:W3CDTF">2019-06-25T02:20:00Z</dcterms:created>
  <dcterms:modified xsi:type="dcterms:W3CDTF">2019-07-11T23:46:00Z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16/07/2019</vt:lpwstr>
  </property>
  <property fmtid="{D5CDD505-2E9C-101B-9397-08002B2CF9AE}" pid="5" name="DOI">
    <vt:lpwstr>https://doi.org/10.33321/cdi.2019.43.28</vt:lpwstr>
  </property>
</Properties>
</file>